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ordWrap w:val="0"/>
        <w:rPr>
          <w:rFonts w:hint="eastAsia" w:ascii="Times New Roman" w:hAnsi="Times New Roman" w:cs="Times New Roman"/>
          <w:b/>
          <w:bCs/>
          <w:sz w:val="32"/>
          <w:szCs w:val="32"/>
        </w:rPr>
      </w:pPr>
      <w:r>
        <w:rPr>
          <w:rFonts w:hint="eastAsia" w:ascii="Times New Roman" w:hAnsi="Times New Roman" w:cs="Times New Roman"/>
          <w:b/>
          <w:bCs/>
          <w:sz w:val="32"/>
          <w:szCs w:val="32"/>
          <w:lang w:eastAsia="zh-CN"/>
        </w:rPr>
        <w:t>项目</w:t>
      </w:r>
      <w:r>
        <w:rPr>
          <w:rFonts w:hint="eastAsia" w:ascii="Times New Roman" w:hAnsi="Times New Roman" w:cs="Times New Roman"/>
          <w:b/>
          <w:bCs/>
          <w:sz w:val="32"/>
          <w:szCs w:val="32"/>
        </w:rPr>
        <w:t>编号：JQJC-2020FH-0</w:t>
      </w:r>
      <w:r>
        <w:rPr>
          <w:rFonts w:hint="eastAsia" w:ascii="Times New Roman" w:hAnsi="Times New Roman" w:cs="Times New Roman"/>
          <w:b/>
          <w:bCs/>
          <w:sz w:val="32"/>
          <w:szCs w:val="32"/>
          <w:lang w:val="en-US" w:eastAsia="zh-CN"/>
        </w:rPr>
        <w:t>51</w:t>
      </w:r>
      <w:r>
        <w:rPr>
          <w:rFonts w:hint="eastAsia" w:ascii="Times New Roman" w:hAnsi="Times New Roman" w:cs="Times New Roman"/>
          <w:b/>
          <w:bCs/>
          <w:sz w:val="32"/>
          <w:szCs w:val="32"/>
        </w:rPr>
        <w:t xml:space="preserve">      </w:t>
      </w:r>
      <w:r>
        <w:rPr>
          <w:rFonts w:hint="eastAsia" w:hAnsi="宋体" w:cs="Times New Roman"/>
          <w:b/>
          <w:bCs/>
          <w:sz w:val="32"/>
          <w:szCs w:val="32"/>
        </w:rPr>
        <w:t xml:space="preserve">       </w:t>
      </w:r>
      <w:r>
        <w:rPr>
          <w:rFonts w:hint="eastAsia" w:ascii="Times New Roman" w:hAnsi="Times New Roman" w:cs="Times New Roman"/>
          <w:b/>
          <w:bCs/>
          <w:sz w:val="32"/>
          <w:szCs w:val="32"/>
        </w:rPr>
        <w:t xml:space="preserve">                 </w:t>
      </w:r>
    </w:p>
    <w:p>
      <w:pPr>
        <w:pStyle w:val="14"/>
        <w:wordWrap w:val="0"/>
        <w:rPr>
          <w:rFonts w:ascii="Times New Roman" w:hAnsi="Times New Roman" w:cs="Times New Roman"/>
          <w:sz w:val="24"/>
        </w:rPr>
      </w:pPr>
      <w:r>
        <w:rPr>
          <w:rFonts w:hint="eastAsia" w:ascii="Times New Roman" w:hAnsi="Times New Roman" w:cs="Times New Roman"/>
          <w:b/>
          <w:bCs/>
          <w:sz w:val="32"/>
          <w:szCs w:val="32"/>
          <w:lang w:eastAsia="zh-CN"/>
        </w:rPr>
        <w:t>政府采购计划备案号</w:t>
      </w:r>
      <w:r>
        <w:rPr>
          <w:rFonts w:hint="eastAsia" w:ascii="Times New Roman" w:hAnsi="Times New Roman" w:cs="Times New Roman"/>
          <w:b/>
          <w:bCs/>
          <w:sz w:val="32"/>
          <w:szCs w:val="32"/>
        </w:rPr>
        <w:t>：荆区采【20</w:t>
      </w:r>
      <w:r>
        <w:rPr>
          <w:rFonts w:hint="eastAsia" w:ascii="Times New Roman" w:hAnsi="Times New Roman" w:cs="Times New Roman"/>
          <w:b/>
          <w:bCs/>
          <w:sz w:val="32"/>
          <w:szCs w:val="32"/>
          <w:lang w:val="en-US" w:eastAsia="zh-CN"/>
        </w:rPr>
        <w:t>20</w:t>
      </w:r>
      <w:r>
        <w:rPr>
          <w:rFonts w:hint="eastAsia" w:ascii="Times New Roman" w:hAnsi="Times New Roman" w:cs="Times New Roman"/>
          <w:b/>
          <w:bCs/>
          <w:sz w:val="32"/>
          <w:szCs w:val="32"/>
        </w:rPr>
        <w:t>】</w:t>
      </w:r>
      <w:r>
        <w:rPr>
          <w:rFonts w:hint="eastAsia" w:ascii="Times New Roman" w:hAnsi="Times New Roman" w:cs="Times New Roman"/>
          <w:b/>
          <w:bCs/>
          <w:sz w:val="32"/>
          <w:szCs w:val="32"/>
          <w:lang w:val="en-US" w:eastAsia="zh-CN"/>
        </w:rPr>
        <w:t>154</w:t>
      </w:r>
      <w:r>
        <w:rPr>
          <w:rFonts w:hint="eastAsia" w:ascii="Times New Roman" w:hAnsi="Times New Roman" w:cs="Times New Roman"/>
          <w:b/>
          <w:bCs/>
          <w:sz w:val="32"/>
          <w:szCs w:val="32"/>
        </w:rPr>
        <w:t>号</w:t>
      </w:r>
    </w:p>
    <w:p>
      <w:pPr>
        <w:pStyle w:val="14"/>
        <w:rPr>
          <w:rFonts w:ascii="Times New Roman" w:hAnsi="Times New Roman" w:cs="Times New Roman"/>
          <w:sz w:val="24"/>
        </w:rPr>
      </w:pPr>
      <w:r>
        <w:rPr>
          <w:rFonts w:hint="eastAsia" w:ascii="Times New Roman" w:hAnsi="Times New Roman" w:cs="Times New Roman"/>
          <w:sz w:val="24"/>
        </w:rPr>
        <w:t xml:space="preserve">               </w:t>
      </w:r>
    </w:p>
    <w:p>
      <w:pPr>
        <w:ind w:left="1800" w:hanging="1800" w:hangingChars="500"/>
        <w:jc w:val="center"/>
        <w:rPr>
          <w:rFonts w:hint="eastAsia"/>
          <w:sz w:val="36"/>
          <w:szCs w:val="36"/>
          <w:lang w:eastAsia="zh-CN"/>
        </w:rPr>
      </w:pPr>
    </w:p>
    <w:p>
      <w:pPr>
        <w:pStyle w:val="2"/>
        <w:rPr>
          <w:rFonts w:hint="eastAsia"/>
          <w:lang w:eastAsia="zh-CN"/>
        </w:rPr>
      </w:pPr>
    </w:p>
    <w:p>
      <w:pPr>
        <w:ind w:left="1800" w:hanging="1800" w:hangingChars="500"/>
        <w:jc w:val="center"/>
        <w:rPr>
          <w:rFonts w:hint="eastAsia"/>
          <w:sz w:val="36"/>
          <w:szCs w:val="36"/>
          <w:lang w:eastAsia="zh-CN"/>
        </w:rPr>
      </w:pPr>
    </w:p>
    <w:p>
      <w:pPr>
        <w:ind w:left="0" w:leftChars="0" w:hanging="8" w:firstLineChars="0"/>
        <w:jc w:val="center"/>
        <w:rPr>
          <w:b/>
          <w:bCs/>
          <w:sz w:val="44"/>
          <w:szCs w:val="44"/>
          <w:lang w:eastAsia="zh-CN"/>
        </w:rPr>
      </w:pPr>
      <w:r>
        <w:rPr>
          <w:rFonts w:hint="eastAsia"/>
          <w:b/>
          <w:bCs/>
          <w:sz w:val="44"/>
          <w:szCs w:val="44"/>
          <w:lang w:eastAsia="zh-CN"/>
        </w:rPr>
        <w:t>荆州区电子商务进农村省级示范项目</w:t>
      </w:r>
    </w:p>
    <w:p>
      <w:pPr>
        <w:ind w:left="2200" w:hanging="2200" w:hangingChars="500"/>
        <w:rPr>
          <w:sz w:val="44"/>
          <w:szCs w:val="44"/>
          <w:lang w:eastAsia="zh-CN"/>
        </w:rPr>
      </w:pPr>
    </w:p>
    <w:p>
      <w:pPr>
        <w:jc w:val="center"/>
        <w:rPr>
          <w:rFonts w:hint="eastAsia"/>
          <w:b/>
          <w:bCs/>
          <w:sz w:val="84"/>
          <w:lang w:eastAsia="zh-CN"/>
        </w:rPr>
      </w:pPr>
    </w:p>
    <w:p>
      <w:pPr>
        <w:jc w:val="center"/>
        <w:rPr>
          <w:b/>
          <w:bCs/>
          <w:sz w:val="84"/>
          <w:lang w:eastAsia="zh-CN"/>
        </w:rPr>
      </w:pPr>
      <w:r>
        <w:rPr>
          <w:rFonts w:hint="eastAsia"/>
          <w:b/>
          <w:bCs/>
          <w:sz w:val="84"/>
          <w:lang w:eastAsia="zh-CN"/>
        </w:rPr>
        <w:t>招标文件</w:t>
      </w:r>
    </w:p>
    <w:p>
      <w:pPr>
        <w:jc w:val="center"/>
        <w:rPr>
          <w:rFonts w:ascii="黑体" w:hAnsi="宋体" w:eastAsia="黑体" w:cs="黑体"/>
          <w:sz w:val="44"/>
          <w:szCs w:val="44"/>
          <w:shd w:val="clear" w:color="auto" w:fill="FFFFFF"/>
        </w:rPr>
      </w:pPr>
    </w:p>
    <w:p>
      <w:pPr>
        <w:jc w:val="center"/>
        <w:rPr>
          <w:rFonts w:ascii="宋体" w:hAnsi="宋体"/>
          <w:sz w:val="72"/>
          <w:szCs w:val="20"/>
        </w:rPr>
      </w:pPr>
      <w:bookmarkStart w:id="0" w:name="_Toc465346992"/>
      <w:bookmarkStart w:id="1" w:name="_Toc342034964"/>
    </w:p>
    <w:p>
      <w:pPr>
        <w:spacing w:line="360" w:lineRule="auto"/>
        <w:rPr>
          <w:rFonts w:ascii="宋体" w:hAnsi="宋体"/>
          <w:b/>
          <w:bCs/>
          <w:sz w:val="36"/>
        </w:rPr>
      </w:pPr>
    </w:p>
    <w:p>
      <w:pPr>
        <w:pStyle w:val="29"/>
        <w:rPr>
          <w:rFonts w:ascii="宋体" w:hAnsi="宋体"/>
          <w:sz w:val="36"/>
        </w:rPr>
      </w:pPr>
    </w:p>
    <w:p>
      <w:pPr>
        <w:pStyle w:val="29"/>
        <w:rPr>
          <w:rFonts w:ascii="宋体" w:hAnsi="宋体"/>
          <w:sz w:val="36"/>
        </w:rPr>
      </w:pPr>
    </w:p>
    <w:p>
      <w:pPr>
        <w:pStyle w:val="29"/>
        <w:rPr>
          <w:rFonts w:ascii="宋体" w:hAnsi="宋体"/>
          <w:sz w:val="36"/>
        </w:rPr>
      </w:pPr>
    </w:p>
    <w:p>
      <w:pPr>
        <w:pStyle w:val="29"/>
        <w:rPr>
          <w:rFonts w:ascii="宋体" w:hAnsi="宋体"/>
          <w:sz w:val="36"/>
        </w:rPr>
      </w:pPr>
    </w:p>
    <w:p>
      <w:pPr>
        <w:pStyle w:val="29"/>
        <w:rPr>
          <w:rFonts w:ascii="宋体" w:hAnsi="宋体"/>
          <w:sz w:val="36"/>
        </w:rPr>
      </w:pPr>
    </w:p>
    <w:p>
      <w:pPr>
        <w:keepNext w:val="0"/>
        <w:keepLines w:val="0"/>
        <w:pageBreakBefore w:val="0"/>
        <w:widowControl w:val="0"/>
        <w:kinsoku/>
        <w:wordWrap/>
        <w:overflowPunct/>
        <w:topLinePunct w:val="0"/>
        <w:autoSpaceDE/>
        <w:autoSpaceDN/>
        <w:bidi w:val="0"/>
        <w:adjustRightInd/>
        <w:snapToGrid/>
        <w:spacing w:line="500" w:lineRule="exact"/>
        <w:ind w:firstLine="1214" w:firstLineChars="378"/>
        <w:textAlignment w:val="auto"/>
        <w:rPr>
          <w:b/>
          <w:bCs/>
          <w:sz w:val="32"/>
          <w:szCs w:val="32"/>
          <w:lang w:eastAsia="zh-CN"/>
        </w:rPr>
      </w:pPr>
      <w:r>
        <w:rPr>
          <w:rFonts w:hint="eastAsia"/>
          <w:b/>
          <w:bCs/>
          <w:sz w:val="32"/>
          <w:szCs w:val="32"/>
          <w:lang w:eastAsia="zh-CN"/>
        </w:rPr>
        <w:t>招 标 人：荆州市荆州区商务局</w:t>
      </w:r>
    </w:p>
    <w:p>
      <w:pPr>
        <w:keepNext w:val="0"/>
        <w:keepLines w:val="0"/>
        <w:pageBreakBefore w:val="0"/>
        <w:widowControl w:val="0"/>
        <w:kinsoku/>
        <w:wordWrap/>
        <w:overflowPunct/>
        <w:topLinePunct w:val="0"/>
        <w:autoSpaceDE/>
        <w:autoSpaceDN/>
        <w:bidi w:val="0"/>
        <w:adjustRightInd/>
        <w:snapToGrid/>
        <w:spacing w:line="500" w:lineRule="exact"/>
        <w:ind w:firstLine="1214" w:firstLineChars="378"/>
        <w:textAlignment w:val="auto"/>
        <w:rPr>
          <w:b/>
          <w:bCs/>
          <w:sz w:val="32"/>
          <w:szCs w:val="32"/>
          <w:lang w:eastAsia="zh-CN"/>
        </w:rPr>
      </w:pPr>
      <w:r>
        <w:rPr>
          <w:rFonts w:hint="eastAsia"/>
          <w:b/>
          <w:bCs/>
          <w:sz w:val="32"/>
          <w:szCs w:val="32"/>
          <w:lang w:eastAsia="zh-CN"/>
        </w:rPr>
        <w:t>代理机构：湖北中南华大建设项目管理有限公司</w:t>
      </w:r>
    </w:p>
    <w:p>
      <w:pPr>
        <w:keepNext w:val="0"/>
        <w:keepLines w:val="0"/>
        <w:pageBreakBefore w:val="0"/>
        <w:widowControl w:val="0"/>
        <w:kinsoku/>
        <w:wordWrap/>
        <w:overflowPunct/>
        <w:topLinePunct w:val="0"/>
        <w:autoSpaceDE/>
        <w:autoSpaceDN/>
        <w:bidi w:val="0"/>
        <w:adjustRightInd/>
        <w:snapToGrid/>
        <w:spacing w:line="500" w:lineRule="exact"/>
        <w:ind w:firstLine="1214" w:firstLineChars="378"/>
        <w:textAlignment w:val="auto"/>
        <w:rPr>
          <w:rFonts w:hint="eastAsia"/>
          <w:b/>
          <w:bCs/>
          <w:sz w:val="32"/>
          <w:szCs w:val="32"/>
          <w:lang w:eastAsia="zh-CN"/>
        </w:rPr>
      </w:pPr>
      <w:r>
        <w:rPr>
          <w:rFonts w:hint="eastAsia"/>
          <w:b/>
          <w:bCs/>
          <w:sz w:val="32"/>
          <w:szCs w:val="32"/>
          <w:lang w:eastAsia="zh-CN"/>
        </w:rPr>
        <w:t>编制日期：</w:t>
      </w:r>
      <w:r>
        <w:rPr>
          <w:rFonts w:hint="eastAsia" w:ascii="宋体" w:hAnsi="宋体"/>
          <w:b/>
          <w:bCs/>
          <w:sz w:val="32"/>
          <w:szCs w:val="32"/>
          <w:lang w:eastAsia="zh-CN"/>
        </w:rPr>
        <w:t>二</w:t>
      </w:r>
      <w:r>
        <w:rPr>
          <w:rFonts w:hint="default" w:ascii="Times New Roman" w:hAnsi="Times New Roman" w:cs="Times New Roman"/>
          <w:b/>
          <w:bCs/>
          <w:sz w:val="32"/>
          <w:szCs w:val="32"/>
          <w:lang w:eastAsia="zh-CN"/>
        </w:rPr>
        <w:t>O</w:t>
      </w:r>
      <w:r>
        <w:rPr>
          <w:rFonts w:hint="eastAsia"/>
          <w:b/>
          <w:bCs/>
          <w:sz w:val="32"/>
          <w:szCs w:val="32"/>
          <w:lang w:eastAsia="zh-CN"/>
        </w:rPr>
        <w:t>二</w:t>
      </w:r>
      <w:r>
        <w:rPr>
          <w:rFonts w:hint="default" w:ascii="Times New Roman" w:hAnsi="Times New Roman" w:cs="Times New Roman"/>
          <w:b/>
          <w:bCs/>
          <w:sz w:val="32"/>
          <w:szCs w:val="32"/>
          <w:lang w:eastAsia="zh-CN"/>
        </w:rPr>
        <w:t>O</w:t>
      </w:r>
      <w:r>
        <w:rPr>
          <w:rFonts w:hint="eastAsia"/>
          <w:b/>
          <w:bCs/>
          <w:sz w:val="32"/>
          <w:szCs w:val="32"/>
          <w:lang w:eastAsia="zh-CN"/>
        </w:rPr>
        <w:t>年</w:t>
      </w:r>
      <w:r>
        <w:rPr>
          <w:rFonts w:hint="eastAsia"/>
          <w:b/>
          <w:bCs/>
          <w:sz w:val="32"/>
          <w:szCs w:val="32"/>
          <w:lang w:val="en-US" w:eastAsia="zh-CN"/>
        </w:rPr>
        <w:t>九</w:t>
      </w:r>
      <w:r>
        <w:rPr>
          <w:rFonts w:hint="eastAsia"/>
          <w:b/>
          <w:bCs/>
          <w:sz w:val="32"/>
          <w:szCs w:val="32"/>
          <w:lang w:eastAsia="zh-CN"/>
        </w:rPr>
        <w:t>月</w:t>
      </w:r>
    </w:p>
    <w:p>
      <w:pPr>
        <w:rPr>
          <w:rFonts w:hint="eastAsia"/>
          <w:b/>
          <w:bCs/>
          <w:sz w:val="32"/>
          <w:szCs w:val="32"/>
          <w:lang w:eastAsia="zh-CN"/>
        </w:rPr>
      </w:pPr>
      <w:r>
        <w:rPr>
          <w:rFonts w:hint="eastAsia"/>
          <w:b/>
          <w:bCs/>
          <w:sz w:val="32"/>
          <w:szCs w:val="32"/>
          <w:lang w:eastAsia="zh-CN"/>
        </w:rPr>
        <w:br w:type="page"/>
      </w:r>
    </w:p>
    <w:p>
      <w:pPr>
        <w:pStyle w:val="2"/>
      </w:pPr>
    </w:p>
    <w:bookmarkEnd w:id="0"/>
    <w:p>
      <w:pPr>
        <w:rPr>
          <w:rFonts w:hint="eastAsia" w:ascii="黑体" w:hAnsi="黑体" w:eastAsia="黑体" w:cs="黑体"/>
          <w:sz w:val="44"/>
          <w:szCs w:val="44"/>
        </w:rPr>
      </w:pPr>
      <w:r>
        <w:rPr>
          <w:rFonts w:hint="eastAsia" w:ascii="黑体" w:hAnsi="黑体" w:eastAsia="黑体" w:cs="黑体"/>
          <w:sz w:val="44"/>
          <w:szCs w:val="44"/>
        </w:rPr>
        <w:br w:type="page"/>
      </w:r>
    </w:p>
    <w:p>
      <w:pPr>
        <w:jc w:val="center"/>
        <w:rPr>
          <w:rFonts w:ascii="黑体" w:hAnsi="黑体" w:eastAsia="黑体" w:cs="黑体"/>
          <w:sz w:val="44"/>
          <w:szCs w:val="44"/>
        </w:rPr>
      </w:pPr>
      <w:r>
        <w:rPr>
          <w:rFonts w:hint="eastAsia" w:ascii="黑体" w:hAnsi="黑体" w:eastAsia="黑体" w:cs="黑体"/>
          <w:sz w:val="44"/>
          <w:szCs w:val="44"/>
        </w:rPr>
        <w:t>目   录</w:t>
      </w:r>
    </w:p>
    <w:p>
      <w:pPr>
        <w:jc w:val="center"/>
        <w:rPr>
          <w:rFonts w:ascii="黑体" w:hAnsi="黑体" w:eastAsia="黑体" w:cs="黑体"/>
          <w:sz w:val="44"/>
          <w:szCs w:val="44"/>
        </w:rPr>
      </w:pPr>
    </w:p>
    <w:p>
      <w:pPr>
        <w:pStyle w:val="18"/>
        <w:tabs>
          <w:tab w:val="right" w:leader="dot" w:pos="9061"/>
        </w:tabs>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TOC \o "1-3" \u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第一章 投标邀请书   ……………………………………………1</w:t>
      </w:r>
    </w:p>
    <w:p>
      <w:pPr>
        <w:pStyle w:val="18"/>
        <w:tabs>
          <w:tab w:val="right" w:leader="dot" w:pos="9061"/>
        </w:tabs>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第二章 投标人须知   ……………………………………………4</w:t>
      </w:r>
    </w:p>
    <w:p>
      <w:pPr>
        <w:spacing w:line="600" w:lineRule="exact"/>
        <w:rPr>
          <w:color w:val="auto"/>
        </w:rPr>
      </w:pPr>
      <w:r>
        <w:rPr>
          <w:rFonts w:hint="eastAsia" w:ascii="仿宋_GB2312" w:hAnsi="仿宋_GB2312" w:eastAsia="仿宋_GB2312" w:cs="仿宋_GB2312"/>
          <w:color w:val="auto"/>
          <w:sz w:val="32"/>
          <w:szCs w:val="32"/>
        </w:rPr>
        <w:t>第三章 招标内容及技术要求  …………………………………15</w:t>
      </w:r>
    </w:p>
    <w:p>
      <w:pPr>
        <w:pStyle w:val="18"/>
        <w:tabs>
          <w:tab w:val="right" w:leader="dot" w:pos="9061"/>
        </w:tabs>
        <w:spacing w:line="60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第四章 评标方法、步骤及标准  ………………………………</w:t>
      </w:r>
      <w:r>
        <w:rPr>
          <w:rFonts w:hint="eastAsia" w:ascii="仿宋_GB2312" w:hAnsi="仿宋_GB2312" w:eastAsia="仿宋_GB2312" w:cs="仿宋_GB2312"/>
          <w:color w:val="auto"/>
          <w:sz w:val="32"/>
          <w:szCs w:val="32"/>
          <w:lang w:val="en-US" w:eastAsia="zh-CN"/>
        </w:rPr>
        <w:t>32</w:t>
      </w:r>
    </w:p>
    <w:p>
      <w:pPr>
        <w:pStyle w:val="18"/>
        <w:tabs>
          <w:tab w:val="right" w:leader="dot" w:pos="9061"/>
        </w:tabs>
        <w:spacing w:line="60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第五章 合同条款及格式  ………………………………………</w:t>
      </w:r>
      <w:r>
        <w:rPr>
          <w:rFonts w:hint="eastAsia" w:ascii="仿宋_GB2312" w:hAnsi="仿宋_GB2312" w:eastAsia="仿宋_GB2312" w:cs="仿宋_GB2312"/>
          <w:color w:val="auto"/>
          <w:sz w:val="32"/>
          <w:szCs w:val="32"/>
          <w:lang w:val="en-US" w:eastAsia="zh-CN"/>
        </w:rPr>
        <w:t>38</w:t>
      </w:r>
    </w:p>
    <w:p>
      <w:pPr>
        <w:pStyle w:val="18"/>
        <w:tabs>
          <w:tab w:val="right" w:leader="dot" w:pos="9061"/>
        </w:tabs>
        <w:spacing w:line="60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第六章 投标文件格式  …………………………………………</w:t>
      </w:r>
      <w:r>
        <w:rPr>
          <w:rFonts w:hint="eastAsia" w:ascii="仿宋_GB2312" w:hAnsi="仿宋_GB2312" w:eastAsia="仿宋_GB2312" w:cs="仿宋_GB2312"/>
          <w:color w:val="auto"/>
          <w:sz w:val="32"/>
          <w:szCs w:val="32"/>
          <w:lang w:val="en-US" w:eastAsia="zh-CN"/>
        </w:rPr>
        <w:t>40</w:t>
      </w:r>
    </w:p>
    <w:p>
      <w:pPr>
        <w:pStyle w:val="20"/>
        <w:tabs>
          <w:tab w:val="right" w:leader="dot" w:pos="9061"/>
        </w:tabs>
        <w:spacing w:line="600" w:lineRule="exact"/>
        <w:ind w:left="0" w:leftChars="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附件一：投标书  ………………………………………</w:t>
      </w:r>
      <w:r>
        <w:rPr>
          <w:rFonts w:hint="eastAsia" w:ascii="仿宋_GB2312" w:hAnsi="仿宋_GB2312" w:eastAsia="仿宋_GB2312" w:cs="仿宋_GB2312"/>
          <w:color w:val="auto"/>
          <w:sz w:val="32"/>
          <w:szCs w:val="32"/>
          <w:lang w:val="en-US" w:eastAsia="zh-CN"/>
        </w:rPr>
        <w:t>41</w:t>
      </w:r>
    </w:p>
    <w:p>
      <w:pPr>
        <w:pStyle w:val="20"/>
        <w:tabs>
          <w:tab w:val="right" w:leader="dot" w:pos="9061"/>
        </w:tabs>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附件二：报价一览表   …………………………………</w:t>
      </w:r>
      <w:r>
        <w:rPr>
          <w:rFonts w:hint="eastAsia" w:ascii="仿宋_GB2312" w:hAnsi="仿宋_GB2312" w:eastAsia="仿宋_GB2312" w:cs="仿宋_GB2312"/>
          <w:color w:val="auto"/>
          <w:sz w:val="32"/>
          <w:szCs w:val="32"/>
          <w:lang w:val="en-US" w:eastAsia="zh-CN"/>
        </w:rPr>
        <w:t>42</w:t>
      </w:r>
    </w:p>
    <w:p>
      <w:pPr>
        <w:pStyle w:val="20"/>
        <w:tabs>
          <w:tab w:val="right" w:leader="dot" w:pos="9061"/>
        </w:tabs>
        <w:spacing w:line="600" w:lineRule="exact"/>
        <w:ind w:left="1058" w:leftChars="504"/>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附件三：法定代表人授权书 ……………………………</w:t>
      </w:r>
      <w:r>
        <w:rPr>
          <w:rFonts w:hint="eastAsia" w:ascii="仿宋_GB2312" w:hAnsi="仿宋_GB2312" w:eastAsia="仿宋_GB2312" w:cs="仿宋_GB2312"/>
          <w:color w:val="auto"/>
          <w:sz w:val="32"/>
          <w:szCs w:val="32"/>
          <w:lang w:val="en-US" w:eastAsia="zh-CN"/>
        </w:rPr>
        <w:t>44</w:t>
      </w:r>
    </w:p>
    <w:p>
      <w:pPr>
        <w:pStyle w:val="20"/>
        <w:tabs>
          <w:tab w:val="right" w:leader="dot" w:pos="9061"/>
        </w:tabs>
        <w:spacing w:line="600" w:lineRule="exact"/>
        <w:ind w:left="1058" w:leftChars="504"/>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rPr>
        <w:t>附件四：法定代表人证明书 ……………………………</w:t>
      </w:r>
      <w:r>
        <w:rPr>
          <w:rFonts w:hint="eastAsia" w:ascii="仿宋_GB2312" w:hAnsi="仿宋_GB2312" w:eastAsia="仿宋_GB2312" w:cs="仿宋_GB2312"/>
          <w:color w:val="auto"/>
          <w:sz w:val="32"/>
          <w:szCs w:val="32"/>
          <w:lang w:val="en-US" w:eastAsia="zh-CN"/>
        </w:rPr>
        <w:t>45</w:t>
      </w:r>
    </w:p>
    <w:p>
      <w:pPr>
        <w:pStyle w:val="20"/>
        <w:tabs>
          <w:tab w:val="right" w:leader="dot" w:pos="9061"/>
        </w:tabs>
        <w:spacing w:line="60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：资格性审查和符合性检查对照表 ……………</w:t>
      </w:r>
      <w:r>
        <w:rPr>
          <w:rFonts w:hint="eastAsia" w:ascii="仿宋_GB2312" w:hAnsi="仿宋_GB2312" w:eastAsia="仿宋_GB2312" w:cs="仿宋_GB2312"/>
          <w:color w:val="auto"/>
          <w:sz w:val="32"/>
          <w:szCs w:val="32"/>
          <w:lang w:val="en-US" w:eastAsia="zh-CN"/>
        </w:rPr>
        <w:t>46</w:t>
      </w:r>
    </w:p>
    <w:p>
      <w:pPr>
        <w:spacing w:line="60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附件</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：政府采购活动没有重大违法记录声明 ………</w:t>
      </w:r>
      <w:r>
        <w:rPr>
          <w:rFonts w:hint="eastAsia" w:ascii="仿宋_GB2312" w:hAnsi="仿宋_GB2312" w:eastAsia="仿宋_GB2312" w:cs="仿宋_GB2312"/>
          <w:color w:val="auto"/>
          <w:sz w:val="32"/>
          <w:szCs w:val="32"/>
          <w:lang w:val="en-US" w:eastAsia="zh-CN"/>
        </w:rPr>
        <w:t>47</w:t>
      </w:r>
    </w:p>
    <w:p>
      <w:pPr>
        <w:spacing w:line="60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附件</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：其他证明资料 …………………………………</w:t>
      </w:r>
      <w:r>
        <w:rPr>
          <w:rFonts w:hint="eastAsia" w:ascii="仿宋_GB2312" w:hAnsi="仿宋_GB2312" w:eastAsia="仿宋_GB2312" w:cs="仿宋_GB2312"/>
          <w:color w:val="auto"/>
          <w:sz w:val="32"/>
          <w:szCs w:val="32"/>
          <w:lang w:val="en-US" w:eastAsia="zh-CN"/>
        </w:rPr>
        <w:t>47</w:t>
      </w:r>
    </w:p>
    <w:p>
      <w:pPr>
        <w:spacing w:line="600" w:lineRule="exact"/>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 xml:space="preserve">       附件</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中小企业声明函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58</w:t>
      </w:r>
    </w:p>
    <w:p>
      <w:pPr>
        <w:pStyle w:val="3"/>
        <w:spacing w:before="0" w:after="0" w:line="600" w:lineRule="exact"/>
        <w:jc w:val="center"/>
        <w:rPr>
          <w:rFonts w:ascii="仿宋_GB2312" w:hAnsi="仿宋_GB2312" w:eastAsia="仿宋_GB2312" w:cs="仿宋_GB2312"/>
          <w:color w:val="FF0000"/>
          <w:sz w:val="32"/>
          <w:szCs w:val="32"/>
        </w:rPr>
      </w:pPr>
    </w:p>
    <w:p>
      <w:pPr>
        <w:rPr>
          <w:rFonts w:ascii="黑体" w:hAnsi="黑体" w:eastAsia="黑体" w:cs="黑体"/>
          <w:color w:val="FF0000"/>
          <w:sz w:val="32"/>
          <w:szCs w:val="32"/>
        </w:rPr>
      </w:pPr>
      <w:r>
        <w:rPr>
          <w:rFonts w:ascii="黑体" w:hAnsi="黑体" w:eastAsia="黑体" w:cs="黑体"/>
          <w:color w:val="FF0000"/>
          <w:sz w:val="32"/>
          <w:szCs w:val="32"/>
        </w:rPr>
        <w:br w:type="page"/>
      </w:r>
    </w:p>
    <w:p>
      <w:pPr>
        <w:sectPr>
          <w:headerReference r:id="rId3" w:type="default"/>
          <w:pgSz w:w="11907" w:h="16840"/>
          <w:pgMar w:top="2098" w:right="1474" w:bottom="1984" w:left="1587" w:header="907" w:footer="907" w:gutter="0"/>
          <w:cols w:space="0" w:num="1"/>
          <w:docGrid w:linePitch="312" w:charSpace="0"/>
        </w:sectPr>
      </w:pPr>
    </w:p>
    <w:p>
      <w:pPr>
        <w:pStyle w:val="3"/>
        <w:spacing w:before="0" w:after="0" w:line="700" w:lineRule="exact"/>
        <w:jc w:val="center"/>
        <w:rPr>
          <w:rFonts w:ascii="仿宋_GB2312" w:hAnsi="仿宋_GB2312" w:eastAsia="仿宋_GB2312" w:cs="仿宋_GB2312"/>
          <w:sz w:val="32"/>
          <w:szCs w:val="32"/>
          <w:shd w:val="clear" w:color="auto" w:fill="FFFFFF"/>
        </w:rPr>
      </w:pPr>
      <w:r>
        <w:rPr>
          <w:rFonts w:hint="eastAsia" w:ascii="黑体" w:hAnsi="黑体" w:eastAsia="黑体" w:cs="黑体"/>
          <w:sz w:val="32"/>
          <w:szCs w:val="32"/>
        </w:rPr>
        <w:t>第一章 投标邀请书</w:t>
      </w:r>
    </w:p>
    <w:p>
      <w:pPr>
        <w:spacing w:line="5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shd w:val="clear" w:color="auto" w:fill="FFFFFF"/>
          <w:lang w:eastAsia="zh-CN"/>
        </w:rPr>
        <w:t>依据荆区采【</w:t>
      </w:r>
      <w:r>
        <w:rPr>
          <w:rFonts w:hint="eastAsia" w:ascii="仿宋_GB2312" w:hAnsi="仿宋_GB2312" w:eastAsia="仿宋_GB2312" w:cs="仿宋_GB2312"/>
          <w:sz w:val="32"/>
          <w:szCs w:val="32"/>
          <w:shd w:val="clear" w:color="auto" w:fill="FFFFFF"/>
          <w:lang w:val="en-US" w:eastAsia="zh-CN"/>
        </w:rPr>
        <w:t>2020】154号，</w:t>
      </w:r>
      <w:r>
        <w:rPr>
          <w:rFonts w:hint="eastAsia" w:ascii="仿宋_GB2312" w:hAnsi="仿宋_GB2312" w:eastAsia="仿宋_GB2312" w:cs="仿宋_GB2312"/>
          <w:sz w:val="32"/>
          <w:szCs w:val="32"/>
          <w:shd w:val="clear" w:color="auto" w:fill="FFFFFF"/>
        </w:rPr>
        <w:t>湖北中南华大建设项目管理有限公司受</w:t>
      </w:r>
      <w:r>
        <w:rPr>
          <w:rFonts w:hint="eastAsia" w:ascii="仿宋_GB2312" w:hAnsi="仿宋_GB2312" w:eastAsia="仿宋_GB2312" w:cs="仿宋_GB2312"/>
          <w:sz w:val="32"/>
          <w:szCs w:val="32"/>
          <w:shd w:val="clear" w:color="auto" w:fill="FFFFFF"/>
          <w:lang w:eastAsia="zh-CN"/>
        </w:rPr>
        <w:t>荆州市荆州区商务局</w:t>
      </w:r>
      <w:r>
        <w:rPr>
          <w:rFonts w:hint="eastAsia" w:ascii="仿宋_GB2312" w:hAnsi="仿宋_GB2312" w:eastAsia="仿宋_GB2312" w:cs="仿宋_GB2312"/>
          <w:sz w:val="32"/>
          <w:szCs w:val="32"/>
          <w:shd w:val="clear" w:color="auto" w:fill="FFFFFF"/>
        </w:rPr>
        <w:t>的委托，对</w:t>
      </w:r>
      <w:r>
        <w:rPr>
          <w:rFonts w:hint="eastAsia" w:ascii="仿宋_GB2312" w:hAnsi="仿宋_GB2312" w:eastAsia="仿宋_GB2312" w:cs="仿宋_GB2312"/>
          <w:sz w:val="32"/>
          <w:szCs w:val="32"/>
          <w:shd w:val="clear" w:color="auto" w:fill="FFFFFF"/>
          <w:lang w:eastAsia="zh-CN"/>
        </w:rPr>
        <w:t>荆州区电子商务进农村省级示范项目</w:t>
      </w:r>
      <w:r>
        <w:rPr>
          <w:rFonts w:hint="eastAsia" w:ascii="仿宋_GB2312" w:hAnsi="仿宋_GB2312" w:eastAsia="仿宋_GB2312" w:cs="仿宋_GB2312"/>
          <w:sz w:val="32"/>
          <w:szCs w:val="32"/>
          <w:shd w:val="clear" w:color="auto" w:fill="FFFFFF"/>
        </w:rPr>
        <w:t>进行公开招标，欢迎各位合格投标人参与投标。</w:t>
      </w:r>
    </w:p>
    <w:p>
      <w:pPr>
        <w:numPr>
          <w:ilvl w:val="0"/>
          <w:numId w:val="4"/>
        </w:numPr>
        <w:autoSpaceDE w:val="0"/>
        <w:spacing w:line="540" w:lineRule="exact"/>
        <w:ind w:firstLine="643" w:firstLineChars="2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项目编号：</w:t>
      </w:r>
      <w:r>
        <w:rPr>
          <w:rFonts w:hint="eastAsia" w:ascii="仿宋_GB2312" w:hAnsi="仿宋_GB2312" w:eastAsia="仿宋_GB2312" w:cs="仿宋_GB2312"/>
          <w:b w:val="0"/>
          <w:bCs/>
          <w:sz w:val="32"/>
          <w:szCs w:val="32"/>
        </w:rPr>
        <w:t>JQJC-2020FH-0</w:t>
      </w:r>
      <w:r>
        <w:rPr>
          <w:rFonts w:hint="eastAsia" w:ascii="仿宋_GB2312" w:hAnsi="仿宋_GB2312" w:eastAsia="仿宋_GB2312" w:cs="仿宋_GB2312"/>
          <w:b w:val="0"/>
          <w:bCs/>
          <w:sz w:val="32"/>
          <w:szCs w:val="32"/>
          <w:lang w:val="en-US" w:eastAsia="zh-CN"/>
        </w:rPr>
        <w:t>51</w:t>
      </w:r>
    </w:p>
    <w:p>
      <w:pPr>
        <w:autoSpaceDE w:val="0"/>
        <w:spacing w:line="540" w:lineRule="exact"/>
        <w:ind w:firstLine="643" w:firstLineChars="200"/>
        <w:jc w:val="left"/>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b/>
          <w:sz w:val="32"/>
          <w:szCs w:val="32"/>
        </w:rPr>
        <w:t>二、项目名称：</w:t>
      </w:r>
      <w:r>
        <w:rPr>
          <w:rFonts w:hint="eastAsia" w:ascii="仿宋_GB2312" w:hAnsi="仿宋_GB2312" w:eastAsia="仿宋_GB2312" w:cs="仿宋_GB2312"/>
          <w:sz w:val="32"/>
          <w:szCs w:val="32"/>
          <w:shd w:val="clear" w:color="auto" w:fill="FFFFFF"/>
          <w:lang w:eastAsia="zh-CN"/>
        </w:rPr>
        <w:t>荆州区电子商务进农村省级示范项目</w:t>
      </w:r>
    </w:p>
    <w:p>
      <w:pPr>
        <w:autoSpaceDE w:val="0"/>
        <w:spacing w:line="540" w:lineRule="exact"/>
        <w:ind w:firstLine="643" w:firstLineChars="200"/>
        <w:jc w:val="left"/>
        <w:rPr>
          <w:rFonts w:hint="default" w:ascii="仿宋_GB2312" w:hAnsi="仿宋_GB2312" w:eastAsia="仿宋_GB2312" w:cs="仿宋_GB2312"/>
          <w:bCs/>
          <w:kern w:val="0"/>
          <w:sz w:val="32"/>
          <w:szCs w:val="32"/>
          <w:shd w:val="clear" w:color="auto" w:fill="FFFFFF"/>
          <w:lang w:val="en-US" w:eastAsia="zh-CN"/>
        </w:rPr>
      </w:pPr>
      <w:r>
        <w:rPr>
          <w:rFonts w:hint="eastAsia" w:ascii="仿宋_GB2312" w:hAnsi="仿宋_GB2312" w:eastAsia="仿宋_GB2312" w:cs="仿宋_GB2312"/>
          <w:b/>
          <w:sz w:val="32"/>
          <w:szCs w:val="32"/>
        </w:rPr>
        <w:t>三、招标内容：</w:t>
      </w:r>
      <w:r>
        <w:rPr>
          <w:rFonts w:hint="eastAsia" w:ascii="仿宋_GB2312" w:hAnsi="仿宋_GB2312" w:eastAsia="仿宋_GB2312" w:cs="仿宋_GB2312"/>
          <w:sz w:val="32"/>
          <w:szCs w:val="32"/>
          <w:shd w:val="clear" w:color="auto" w:fill="FFFFFF"/>
          <w:lang w:eastAsia="zh-CN"/>
        </w:rPr>
        <w:t>区、镇、村三级电商公共服务体系建设；电商培训；区、镇、村三级物流配套体系建设；农产品上行体系建设</w:t>
      </w:r>
    </w:p>
    <w:p>
      <w:pPr>
        <w:spacing w:line="56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四、招标预算：</w:t>
      </w:r>
      <w:r>
        <w:rPr>
          <w:rFonts w:hint="eastAsia" w:ascii="仿宋_GB2312" w:hAnsi="仿宋_GB2312" w:eastAsia="仿宋_GB2312" w:cs="仿宋_GB2312"/>
          <w:b w:val="0"/>
          <w:bCs/>
          <w:color w:val="auto"/>
          <w:sz w:val="32"/>
          <w:szCs w:val="32"/>
          <w:lang w:val="en-US" w:eastAsia="zh-CN"/>
        </w:rPr>
        <w:t>8930000.00</w:t>
      </w:r>
      <w:r>
        <w:rPr>
          <w:rFonts w:hint="eastAsia" w:ascii="仿宋_GB2312" w:hAnsi="仿宋_GB2312" w:eastAsia="仿宋_GB2312" w:cs="仿宋_GB2312"/>
          <w:color w:val="auto"/>
          <w:sz w:val="32"/>
          <w:szCs w:val="32"/>
        </w:rPr>
        <w:t>元</w:t>
      </w:r>
    </w:p>
    <w:p>
      <w:pPr>
        <w:pStyle w:val="29"/>
        <w:ind w:firstLine="643" w:firstLineChars="200"/>
        <w:rPr>
          <w:rFonts w:hint="default" w:ascii="仿宋_GB2312" w:hAnsi="仿宋_GB2312" w:eastAsia="仿宋_GB2312" w:cs="仿宋_GB2312"/>
          <w:b/>
          <w:color w:val="auto"/>
          <w:kern w:val="2"/>
          <w:sz w:val="32"/>
          <w:szCs w:val="32"/>
          <w:lang w:val="en-US" w:eastAsia="zh-CN"/>
        </w:rPr>
      </w:pPr>
      <w:r>
        <w:rPr>
          <w:rFonts w:ascii="仿宋_GB2312" w:hAnsi="仿宋_GB2312" w:eastAsia="仿宋_GB2312" w:cs="仿宋_GB2312"/>
          <w:b/>
          <w:color w:val="auto"/>
          <w:kern w:val="2"/>
          <w:sz w:val="32"/>
          <w:szCs w:val="32"/>
        </w:rPr>
        <w:t>五、</w:t>
      </w:r>
      <w:r>
        <w:rPr>
          <w:rFonts w:hint="eastAsia" w:ascii="仿宋_GB2312" w:hAnsi="仿宋_GB2312" w:eastAsia="仿宋_GB2312" w:cs="仿宋_GB2312"/>
          <w:b/>
          <w:color w:val="auto"/>
          <w:kern w:val="2"/>
          <w:sz w:val="32"/>
          <w:szCs w:val="32"/>
          <w:lang w:eastAsia="zh-CN"/>
        </w:rPr>
        <w:t>服务</w:t>
      </w:r>
      <w:r>
        <w:rPr>
          <w:rFonts w:ascii="仿宋_GB2312" w:hAnsi="仿宋_GB2312" w:eastAsia="仿宋_GB2312" w:cs="仿宋_GB2312"/>
          <w:b/>
          <w:color w:val="auto"/>
          <w:kern w:val="2"/>
          <w:sz w:val="32"/>
          <w:szCs w:val="32"/>
        </w:rPr>
        <w:t>期限：</w:t>
      </w:r>
      <w:r>
        <w:rPr>
          <w:rFonts w:hint="eastAsia" w:ascii="仿宋_GB2312" w:hAnsi="仿宋_GB2312" w:eastAsia="仿宋_GB2312" w:cs="仿宋_GB2312"/>
          <w:b w:val="0"/>
          <w:bCs/>
          <w:color w:val="auto"/>
          <w:kern w:val="2"/>
          <w:sz w:val="32"/>
          <w:szCs w:val="32"/>
          <w:lang w:eastAsia="zh-CN"/>
        </w:rPr>
        <w:t>合同签订之日起</w:t>
      </w:r>
      <w:r>
        <w:rPr>
          <w:rFonts w:hint="eastAsia" w:ascii="仿宋_GB2312" w:hAnsi="仿宋_GB2312" w:eastAsia="仿宋_GB2312" w:cs="仿宋_GB2312"/>
          <w:b w:val="0"/>
          <w:bCs/>
          <w:color w:val="auto"/>
          <w:kern w:val="2"/>
          <w:sz w:val="32"/>
          <w:szCs w:val="32"/>
          <w:lang w:val="en-US" w:eastAsia="zh-CN"/>
        </w:rPr>
        <w:t>2年</w:t>
      </w:r>
    </w:p>
    <w:p>
      <w:pPr>
        <w:spacing w:line="54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六、供应商资格要求：</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1、符合《中华人民共和国政府采购法》第二十二条规定的条件：</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1.1具有独立承担民事责任的能力；</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1.2具有良好的商业信誉和健全的财务会计制度；</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1.3具有履行合同所必须的设备和专业技术能力；</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1.4有依法缴纳税收和社会保障金的良好记录；</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1.5参加政府采购活动前三年内，在经营活动中没有重大违法记录；</w:t>
      </w:r>
    </w:p>
    <w:p>
      <w:pPr>
        <w:spacing w:line="54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1.6法律、行政法规规定的其他条件。</w:t>
      </w:r>
    </w:p>
    <w:p>
      <w:pPr>
        <w:spacing w:line="540" w:lineRule="exact"/>
        <w:ind w:firstLine="640" w:firstLineChars="200"/>
        <w:rPr>
          <w:rFonts w:hint="eastAsia" w:ascii="仿宋_GB2312" w:hAnsi="仿宋_GB2312" w:eastAsia="仿宋_GB2312" w:cs="仿宋_GB2312"/>
          <w:spacing w:val="-6"/>
          <w:kern w:val="0"/>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在中华人民共和国境内注册取得营业执照，具有独立法人资格，提供营业执照、组织机构代码证、税务</w:t>
      </w:r>
      <w:r>
        <w:rPr>
          <w:rFonts w:hint="eastAsia" w:ascii="仿宋_GB2312" w:hAnsi="仿宋_GB2312" w:eastAsia="仿宋_GB2312" w:cs="仿宋_GB2312"/>
          <w:spacing w:val="-6"/>
          <w:kern w:val="0"/>
          <w:sz w:val="32"/>
          <w:szCs w:val="32"/>
          <w:lang w:val="zh-CN"/>
        </w:rPr>
        <w:t>登记证（或三证合一营业执照）；</w:t>
      </w:r>
    </w:p>
    <w:p>
      <w:pPr>
        <w:spacing w:line="540" w:lineRule="exact"/>
        <w:ind w:firstLine="616" w:firstLineChars="200"/>
        <w:rPr>
          <w:rFonts w:hint="default" w:ascii="仿宋_GB2312" w:hAnsi="仿宋_GB2312" w:eastAsia="仿宋_GB2312" w:cs="仿宋_GB2312"/>
          <w:color w:val="FF0000"/>
          <w:spacing w:val="-6"/>
          <w:kern w:val="0"/>
          <w:sz w:val="32"/>
          <w:szCs w:val="32"/>
          <w:lang w:val="en-US" w:eastAsia="zh-CN"/>
        </w:rPr>
      </w:pPr>
    </w:p>
    <w:p>
      <w:pPr>
        <w:spacing w:line="540" w:lineRule="exact"/>
        <w:ind w:firstLine="616" w:firstLineChars="200"/>
        <w:rPr>
          <w:rFonts w:hint="default" w:ascii="仿宋_GB2312" w:hAnsi="仿宋_GB2312" w:eastAsia="仿宋_GB2312" w:cs="仿宋_GB2312"/>
          <w:sz w:val="32"/>
          <w:szCs w:val="32"/>
          <w:shd w:val="clear" w:color="auto" w:fill="FFFFFF"/>
        </w:rPr>
      </w:pPr>
      <w:r>
        <w:rPr>
          <w:rFonts w:hint="eastAsia" w:ascii="仿宋_GB2312" w:hAnsi="仿宋_GB2312" w:eastAsia="仿宋_GB2312" w:cs="仿宋_GB2312"/>
          <w:spacing w:val="-6"/>
          <w:kern w:val="0"/>
          <w:sz w:val="32"/>
          <w:szCs w:val="32"/>
          <w:lang w:val="en-US" w:eastAsia="zh-CN"/>
        </w:rPr>
        <w:t>3</w:t>
      </w:r>
      <w:r>
        <w:rPr>
          <w:rFonts w:hint="eastAsia" w:ascii="仿宋_GB2312" w:hAnsi="仿宋_GB2312" w:eastAsia="仿宋_GB2312" w:cs="仿宋_GB2312"/>
          <w:spacing w:val="-6"/>
          <w:kern w:val="0"/>
          <w:sz w:val="32"/>
          <w:szCs w:val="32"/>
        </w:rPr>
        <w:t>、供应商参加政府采购活动前三</w:t>
      </w:r>
      <w:r>
        <w:rPr>
          <w:rFonts w:ascii="仿宋_GB2312" w:hAnsi="仿宋_GB2312" w:eastAsia="仿宋_GB2312" w:cs="仿宋_GB2312"/>
          <w:sz w:val="32"/>
          <w:szCs w:val="32"/>
          <w:shd w:val="clear" w:color="auto" w:fill="FFFFFF"/>
        </w:rPr>
        <w:t>年内未被列入“信用中国”网站（www.creditchina.gov.cn）失信被执行人、重大税收违法案件当事人和“中国政府采购”网站（www.ccgp.gov.cn）政府采购严重违法失信行为记录名单</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eastAsia="zh-CN"/>
        </w:rPr>
        <w:t>提供报名期间网站截图）</w:t>
      </w:r>
      <w:r>
        <w:rPr>
          <w:rFonts w:ascii="仿宋_GB2312" w:hAnsi="仿宋_GB2312" w:eastAsia="仿宋_GB2312" w:cs="仿宋_GB2312"/>
          <w:sz w:val="32"/>
          <w:szCs w:val="32"/>
          <w:shd w:val="clear" w:color="auto" w:fill="FFFFFF"/>
        </w:rPr>
        <w:t>；</w:t>
      </w:r>
    </w:p>
    <w:p>
      <w:pPr>
        <w:autoSpaceDE w:val="0"/>
        <w:spacing w:line="540" w:lineRule="exact"/>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val="en-US" w:eastAsia="zh-CN"/>
        </w:rPr>
        <w:t>4</w:t>
      </w:r>
      <w:r>
        <w:rPr>
          <w:rFonts w:hint="eastAsia" w:ascii="仿宋_GB2312" w:hAnsi="仿宋_GB2312" w:eastAsia="仿宋_GB2312" w:cs="仿宋_GB2312"/>
          <w:kern w:val="0"/>
          <w:sz w:val="32"/>
          <w:szCs w:val="32"/>
          <w:shd w:val="clear" w:color="auto" w:fill="FFFFFF"/>
        </w:rPr>
        <w:t>、本项目不允许转包及分包、不接受联合体投标。</w:t>
      </w:r>
    </w:p>
    <w:p>
      <w:pPr>
        <w:spacing w:line="540" w:lineRule="exact"/>
        <w:ind w:firstLine="643" w:firstLineChars="200"/>
        <w:rPr>
          <w:rFonts w:hint="eastAsia" w:ascii="仿宋_GB2312" w:hAnsi="仿宋_GB2312" w:eastAsia="仿宋_GB2312" w:cs="仿宋_GB2312"/>
          <w:b/>
          <w:kern w:val="0"/>
          <w:sz w:val="32"/>
          <w:szCs w:val="32"/>
          <w:lang w:val="zh-CN"/>
        </w:rPr>
      </w:pPr>
      <w:bookmarkStart w:id="2" w:name="_Toc531096402"/>
      <w:r>
        <w:rPr>
          <w:rFonts w:hint="eastAsia" w:ascii="仿宋_GB2312" w:hAnsi="仿宋_GB2312" w:eastAsia="仿宋_GB2312" w:cs="仿宋_GB2312"/>
          <w:b/>
          <w:kern w:val="0"/>
          <w:sz w:val="32"/>
          <w:szCs w:val="32"/>
          <w:lang w:val="zh-CN" w:eastAsia="zh-CN"/>
        </w:rPr>
        <w:t>七、</w:t>
      </w:r>
      <w:r>
        <w:rPr>
          <w:rFonts w:hint="eastAsia" w:ascii="仿宋_GB2312" w:hAnsi="仿宋_GB2312" w:eastAsia="仿宋_GB2312" w:cs="仿宋_GB2312"/>
          <w:b/>
          <w:kern w:val="0"/>
          <w:sz w:val="32"/>
          <w:szCs w:val="32"/>
          <w:lang w:val="zh-CN"/>
        </w:rPr>
        <w:t>政府采购相关政策执行</w:t>
      </w:r>
      <w:r>
        <w:rPr>
          <w:rFonts w:hint="eastAsia" w:ascii="仿宋_GB2312" w:hAnsi="仿宋_GB2312" w:eastAsia="仿宋_GB2312" w:cs="仿宋_GB2312"/>
          <w:b/>
          <w:kern w:val="0"/>
          <w:sz w:val="32"/>
          <w:szCs w:val="32"/>
          <w:lang w:val="zh-CN" w:eastAsia="zh-CN"/>
        </w:rPr>
        <w:t>：</w:t>
      </w:r>
      <w:r>
        <w:rPr>
          <w:rFonts w:hint="eastAsia" w:ascii="仿宋_GB2312" w:hAnsi="仿宋_GB2312" w:eastAsia="仿宋_GB2312" w:cs="仿宋_GB2312"/>
          <w:b/>
          <w:kern w:val="0"/>
          <w:sz w:val="32"/>
          <w:szCs w:val="32"/>
          <w:lang w:val="zh-CN"/>
        </w:rPr>
        <w:t xml:space="preserve">    </w:t>
      </w:r>
    </w:p>
    <w:p>
      <w:pPr>
        <w:spacing w:line="540" w:lineRule="exact"/>
        <w:ind w:firstLine="640" w:firstLineChars="200"/>
        <w:rPr>
          <w:rFonts w:hint="eastAsia" w:ascii="仿宋_GB2312" w:hAnsi="仿宋_GB2312" w:eastAsia="仿宋_GB2312" w:cs="仿宋_GB2312"/>
          <w:b w:val="0"/>
          <w:bCs/>
          <w:kern w:val="0"/>
          <w:sz w:val="32"/>
          <w:szCs w:val="32"/>
          <w:lang w:val="zh-CN"/>
        </w:rPr>
      </w:pPr>
      <w:r>
        <w:rPr>
          <w:rFonts w:hint="eastAsia" w:ascii="仿宋_GB2312" w:hAnsi="仿宋_GB2312" w:eastAsia="仿宋_GB2312" w:cs="仿宋_GB2312"/>
          <w:b w:val="0"/>
          <w:bCs/>
          <w:kern w:val="0"/>
          <w:sz w:val="32"/>
          <w:szCs w:val="32"/>
          <w:lang w:val="zh-CN"/>
        </w:rPr>
        <w:t>落实政府采购强制、优先采购节能产品政策；政府采购优先采购环保产品政策；政府采购促进中小企业发展（监狱企业、残疾人福利性单位视同微型企业）等政策。</w:t>
      </w:r>
      <w:bookmarkEnd w:id="2"/>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zh-CN"/>
        </w:rPr>
        <w:t>八、招标文件获取</w:t>
      </w:r>
      <w:r>
        <w:rPr>
          <w:rFonts w:hint="eastAsia" w:ascii="仿宋_GB2312" w:hAnsi="仿宋_GB2312" w:eastAsia="仿宋_GB2312" w:cs="仿宋_GB2312"/>
          <w:b/>
          <w:kern w:val="0"/>
          <w:sz w:val="32"/>
          <w:szCs w:val="32"/>
        </w:rPr>
        <w:t>：</w:t>
      </w:r>
    </w:p>
    <w:p>
      <w:pPr>
        <w:spacing w:line="540" w:lineRule="exact"/>
        <w:ind w:firstLine="640" w:firstLineChars="200"/>
        <w:rPr>
          <w:rFonts w:hint="default" w:ascii="仿宋_GB2312" w:hAnsi="仿宋_GB2312" w:eastAsia="仿宋_GB2312" w:cs="仿宋_GB2312"/>
          <w:b w:val="0"/>
          <w:bCs/>
          <w:kern w:val="0"/>
          <w:sz w:val="32"/>
          <w:szCs w:val="32"/>
          <w:lang w:val="en-US" w:eastAsia="zh-CN"/>
        </w:rPr>
      </w:pPr>
      <w:r>
        <w:rPr>
          <w:rFonts w:hint="eastAsia" w:ascii="仿宋_GB2312" w:hAnsi="仿宋_GB2312" w:eastAsia="仿宋_GB2312" w:cs="仿宋_GB2312"/>
          <w:b w:val="0"/>
          <w:bCs/>
          <w:kern w:val="0"/>
          <w:sz w:val="32"/>
          <w:szCs w:val="32"/>
          <w:lang w:val="en-US" w:eastAsia="zh-CN"/>
        </w:rPr>
        <w:t>在本公告附件中自行下载采购文件及报名表。</w:t>
      </w:r>
    </w:p>
    <w:p>
      <w:pPr>
        <w:widowControl/>
        <w:spacing w:line="540" w:lineRule="exact"/>
        <w:ind w:firstLine="643" w:firstLineChars="200"/>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九、报名方式：</w:t>
      </w:r>
      <w:r>
        <w:rPr>
          <w:rFonts w:hint="eastAsia" w:ascii="仿宋_GB2312" w:hAnsi="仿宋_GB2312" w:eastAsia="仿宋_GB2312" w:cs="仿宋_GB2312"/>
          <w:bCs/>
          <w:sz w:val="32"/>
          <w:szCs w:val="32"/>
          <w:lang w:val="en-US" w:eastAsia="zh-CN"/>
        </w:rPr>
        <w:t>2020年9月14日至2020年9月18日17:30（北京时间，法定节假日除外），将加盖单位公章的报名表扫描件以电子邮件形式发至jzqggzy@163.com邮箱，邮件主题注明“项目名称（投标单位名称）”，正文为报名表扫描件。各潜在供应商报名时间以收件人邮件中显示时间为准，报名表未按要求填写的、超过采购公告时限要求报名的，均视为无效报名，禁止参加开标。</w:t>
      </w:r>
      <w:r>
        <w:rPr>
          <w:rFonts w:hint="eastAsia" w:ascii="仿宋_GB2312" w:hAnsi="仿宋_GB2312" w:eastAsia="仿宋_GB2312" w:cs="仿宋_GB2312"/>
          <w:bCs/>
          <w:sz w:val="32"/>
          <w:szCs w:val="32"/>
          <w:lang w:val="en-US" w:eastAsia="zh-CN"/>
        </w:rPr>
        <w:br w:type="textWrapping"/>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
          <w:kern w:val="0"/>
          <w:sz w:val="32"/>
          <w:szCs w:val="32"/>
          <w:lang w:val="zh-CN"/>
        </w:rPr>
        <w:t>十、投标信息：</w:t>
      </w:r>
    </w:p>
    <w:p>
      <w:pPr>
        <w:spacing w:line="54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投标文件递交截止时间：</w:t>
      </w:r>
      <w:r>
        <w:rPr>
          <w:rFonts w:hint="eastAsia" w:ascii="仿宋_GB2312" w:hAnsi="仿宋_GB2312" w:eastAsia="仿宋_GB2312" w:cs="仿宋_GB2312"/>
          <w:kern w:val="0"/>
          <w:sz w:val="32"/>
          <w:szCs w:val="32"/>
          <w:lang w:val="en-US" w:eastAsia="zh-CN"/>
        </w:rPr>
        <w:t>2020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10：00</w:t>
      </w:r>
      <w:r>
        <w:rPr>
          <w:rFonts w:hint="eastAsia" w:ascii="仿宋_GB2312" w:hAnsi="仿宋_GB2312" w:eastAsia="仿宋_GB2312" w:cs="仿宋_GB2312"/>
          <w:kern w:val="0"/>
          <w:sz w:val="32"/>
          <w:szCs w:val="32"/>
        </w:rPr>
        <w:t>时（拒收逾期送达或者未按招标文件要求密封的投标文件）</w:t>
      </w:r>
    </w:p>
    <w:p>
      <w:pPr>
        <w:widowControl/>
        <w:spacing w:line="540" w:lineRule="exact"/>
        <w:ind w:firstLine="640" w:firstLineChars="200"/>
        <w:jc w:val="left"/>
        <w:rPr>
          <w:rFonts w:eastAsia="仿宋_GB2312"/>
          <w:b/>
          <w:bCs/>
        </w:rPr>
      </w:pPr>
      <w:r>
        <w:rPr>
          <w:rFonts w:hint="eastAsia" w:ascii="仿宋_GB2312" w:hAnsi="仿宋_GB2312" w:eastAsia="仿宋_GB2312" w:cs="仿宋_GB2312"/>
          <w:kern w:val="0"/>
          <w:sz w:val="32"/>
          <w:szCs w:val="32"/>
        </w:rPr>
        <w:t>投标文件递交地点：荆州市荆州区公共资源交易中心(政府采购中心）。</w:t>
      </w:r>
    </w:p>
    <w:p>
      <w:pPr>
        <w:widowControl/>
        <w:spacing w:line="540" w:lineRule="exact"/>
        <w:ind w:firstLine="643" w:firstLineChars="200"/>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十一、开标信息：</w:t>
      </w:r>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开标时间：20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 xml:space="preserve">10 </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10：00</w:t>
      </w:r>
      <w:r>
        <w:rPr>
          <w:rFonts w:hint="eastAsia" w:ascii="仿宋_GB2312" w:hAnsi="仿宋_GB2312" w:eastAsia="仿宋_GB2312" w:cs="仿宋_GB2312"/>
          <w:kern w:val="0"/>
          <w:sz w:val="32"/>
          <w:szCs w:val="32"/>
        </w:rPr>
        <w:t>时。</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开标地点：荆州市荆州区公共资源交易中心(政府采购中心）。</w:t>
      </w:r>
    </w:p>
    <w:p>
      <w:pPr>
        <w:widowControl/>
        <w:spacing w:line="54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kern w:val="0"/>
          <w:sz w:val="32"/>
          <w:szCs w:val="32"/>
          <w:lang w:val="zh-CN"/>
        </w:rPr>
        <w:t>十二、公告期限：</w:t>
      </w:r>
      <w:r>
        <w:rPr>
          <w:rFonts w:hint="eastAsia" w:ascii="仿宋_GB2312" w:hAnsi="仿宋_GB2312" w:eastAsia="仿宋_GB2312" w:cs="仿宋_GB2312"/>
          <w:sz w:val="32"/>
          <w:szCs w:val="32"/>
        </w:rPr>
        <w:t>自公告发布之日起5个工作日。</w:t>
      </w:r>
    </w:p>
    <w:p>
      <w:pPr>
        <w:widowControl/>
        <w:spacing w:line="540" w:lineRule="exact"/>
        <w:ind w:firstLine="643" w:firstLineChars="200"/>
        <w:jc w:val="lef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w:t>
      </w:r>
      <w:r>
        <w:rPr>
          <w:rFonts w:hint="eastAsia" w:ascii="仿宋_GB2312" w:hAnsi="仿宋_GB2312" w:eastAsia="仿宋_GB2312" w:cs="仿宋_GB2312"/>
          <w:b/>
          <w:bCs/>
          <w:kern w:val="0"/>
          <w:sz w:val="32"/>
          <w:szCs w:val="32"/>
          <w:lang w:eastAsia="zh-CN"/>
        </w:rPr>
        <w:t>三</w:t>
      </w:r>
      <w:r>
        <w:rPr>
          <w:rFonts w:hint="eastAsia" w:ascii="仿宋_GB2312" w:hAnsi="仿宋_GB2312" w:eastAsia="仿宋_GB2312" w:cs="仿宋_GB2312"/>
          <w:b/>
          <w:bCs/>
          <w:kern w:val="0"/>
          <w:sz w:val="32"/>
          <w:szCs w:val="32"/>
        </w:rPr>
        <w:t>、发布媒体：</w:t>
      </w:r>
    </w:p>
    <w:p>
      <w:pPr>
        <w:pStyle w:val="29"/>
        <w:rPr>
          <w:rFonts w:hint="eastAsia" w:eastAsia="仿宋_GB2312"/>
          <w:lang w:val="en-US" w:eastAsia="zh-CN"/>
        </w:rPr>
      </w:pPr>
      <w:r>
        <w:rPr>
          <w:rFonts w:hint="eastAsia" w:ascii="仿宋_GB2312" w:hAnsi="仿宋_GB2312" w:eastAsia="仿宋_GB2312" w:cs="仿宋_GB2312"/>
          <w:b/>
          <w:bCs/>
          <w:kern w:val="0"/>
          <w:sz w:val="32"/>
          <w:szCs w:val="32"/>
          <w:lang w:val="en-US" w:eastAsia="zh-CN"/>
        </w:rPr>
        <w:t xml:space="preserve">     </w:t>
      </w:r>
      <w:r>
        <w:rPr>
          <w:rFonts w:hint="eastAsia" w:ascii="仿宋_GB2312" w:hAnsi="仿宋_GB2312" w:eastAsia="仿宋_GB2312" w:cs="仿宋_GB2312"/>
          <w:sz w:val="32"/>
          <w:szCs w:val="32"/>
        </w:rPr>
        <w:t>湖北政府采购网: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"http://www.ccgp-hubei.gov.cn"</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www.ccgp-hubei.gov.cn</w:t>
      </w:r>
      <w:r>
        <w:rPr>
          <w:rFonts w:hint="eastAsia" w:ascii="仿宋_GB2312" w:hAnsi="仿宋_GB2312" w:eastAsia="仿宋_GB2312" w:cs="仿宋_GB2312"/>
          <w:sz w:val="32"/>
          <w:szCs w:val="32"/>
        </w:rPr>
        <w:fldChar w:fldCharType="end"/>
      </w:r>
    </w:p>
    <w:p>
      <w:pPr>
        <w:widowControl/>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“古城·荆州”网：</w:t>
      </w:r>
      <w:r>
        <w:fldChar w:fldCharType="begin"/>
      </w:r>
      <w:r>
        <w:instrText xml:space="preserve">HYPERLINK "http://www.jingzhouqu.gov.cn"</w:instrText>
      </w:r>
      <w:r>
        <w:fldChar w:fldCharType="separate"/>
      </w:r>
      <w:r>
        <w:rPr>
          <w:rStyle w:val="28"/>
          <w:rFonts w:hint="eastAsia" w:ascii="仿宋_GB2312" w:hAnsi="仿宋_GB2312" w:eastAsia="仿宋_GB2312" w:cs="仿宋_GB2312"/>
          <w:color w:val="auto"/>
          <w:sz w:val="32"/>
          <w:szCs w:val="32"/>
          <w:u w:val="none"/>
        </w:rPr>
        <w:t>www.jingzhouqu.gov.cn</w:t>
      </w:r>
      <w:r>
        <w:fldChar w:fldCharType="end"/>
      </w:r>
    </w:p>
    <w:p>
      <w:pPr>
        <w:widowControl/>
        <w:spacing w:line="540" w:lineRule="exact"/>
        <w:ind w:firstLine="643" w:firstLineChars="200"/>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十四、质疑：</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标人认为招标文件、招标过程和中标结果使自己的权益受到损害的，可以在知道或者应知其权益受到损害之日起7个工作日内，到荆州市荆州区公共资源交易中心(政府采购中心），以书面形式提交质疑函（法人代表签字，加盖单位公章），并附相关证明材料。</w:t>
      </w:r>
    </w:p>
    <w:p>
      <w:pPr>
        <w:widowControl/>
        <w:spacing w:line="540" w:lineRule="exact"/>
        <w:ind w:firstLine="643" w:firstLineChars="200"/>
        <w:jc w:val="left"/>
        <w:rPr>
          <w:rFonts w:ascii="仿宋_GB2312" w:hAnsi="仿宋_GB2312" w:eastAsia="仿宋_GB2312" w:cs="仿宋_GB2312"/>
          <w:b/>
          <w:kern w:val="0"/>
          <w:sz w:val="32"/>
          <w:szCs w:val="32"/>
          <w:lang w:val="zh-CN"/>
        </w:rPr>
      </w:pPr>
      <w:r>
        <w:rPr>
          <w:rFonts w:hint="eastAsia" w:ascii="仿宋_GB2312" w:hAnsi="仿宋_GB2312" w:eastAsia="仿宋_GB2312" w:cs="仿宋_GB2312"/>
          <w:b/>
          <w:kern w:val="0"/>
          <w:sz w:val="32"/>
          <w:szCs w:val="32"/>
          <w:lang w:val="zh-CN"/>
        </w:rPr>
        <w:t>十五、联系方式：</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荆州市荆州区商务局</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 xml:space="preserve">鲁绪辉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13886605328</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lang w:val="en-US" w:eastAsia="zh-CN"/>
        </w:rPr>
        <w:t>荆州区荆中路39号</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代理机构：</w:t>
      </w:r>
      <w:r>
        <w:rPr>
          <w:rFonts w:hint="eastAsia" w:ascii="仿宋_GB2312" w:hAnsi="仿宋_GB2312" w:eastAsia="仿宋_GB2312" w:cs="仿宋_GB2312"/>
          <w:sz w:val="32"/>
          <w:szCs w:val="32"/>
          <w:lang w:eastAsia="zh-CN"/>
        </w:rPr>
        <w:t>湖北中南华大建设项目管理有限公司</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罗丹妮</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lang w:val="en-US" w:eastAsia="zh-CN"/>
        </w:rPr>
        <w:t>13085100140</w:t>
      </w:r>
    </w:p>
    <w:p>
      <w:pPr>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lang w:eastAsia="zh-CN"/>
        </w:rPr>
        <w:t>荆州区屈原南路</w:t>
      </w:r>
      <w:r>
        <w:rPr>
          <w:rFonts w:hint="eastAsia" w:ascii="仿宋_GB2312" w:hAnsi="仿宋_GB2312" w:eastAsia="仿宋_GB2312" w:cs="仿宋_GB2312"/>
          <w:sz w:val="32"/>
          <w:szCs w:val="32"/>
          <w:lang w:val="en-US" w:eastAsia="zh-CN"/>
        </w:rPr>
        <w:t>1-3</w:t>
      </w:r>
    </w:p>
    <w:p>
      <w:pPr>
        <w:pStyle w:val="29"/>
        <w:rPr>
          <w:rFonts w:hint="default"/>
        </w:rPr>
      </w:pPr>
    </w:p>
    <w:p>
      <w:pPr>
        <w:pStyle w:val="29"/>
        <w:rPr>
          <w:rFonts w:hint="default"/>
        </w:rPr>
      </w:pPr>
    </w:p>
    <w:p>
      <w:pPr>
        <w:spacing w:line="540" w:lineRule="exact"/>
        <w:jc w:val="righ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荆州市荆州区商务局</w:t>
      </w:r>
    </w:p>
    <w:p>
      <w:pPr>
        <w:spacing w:line="540" w:lineRule="exact"/>
        <w:jc w:val="right"/>
        <w:rPr>
          <w:rFonts w:ascii="仿宋_GB2312" w:hAnsi="仿宋_GB2312" w:eastAsia="仿宋_GB2312" w:cs="仿宋_GB2312"/>
          <w:bCs/>
          <w:kern w:val="0"/>
          <w:sz w:val="32"/>
          <w:szCs w:val="32"/>
        </w:rPr>
      </w:pPr>
      <w:r>
        <w:rPr>
          <w:rFonts w:hint="eastAsia" w:ascii="仿宋_GB2312" w:hAnsi="仿宋_GB2312" w:eastAsia="仿宋_GB2312" w:cs="仿宋_GB2312"/>
          <w:sz w:val="32"/>
          <w:szCs w:val="32"/>
          <w:shd w:val="clear" w:color="auto" w:fill="FFFFFF"/>
        </w:rPr>
        <w:t xml:space="preserve">   </w:t>
      </w:r>
      <w:r>
        <w:rPr>
          <w:rFonts w:hint="eastAsia" w:ascii="仿宋_GB2312" w:hAnsi="仿宋_GB2312" w:eastAsia="仿宋_GB2312" w:cs="仿宋_GB2312"/>
          <w:bCs/>
          <w:kern w:val="0"/>
          <w:sz w:val="32"/>
          <w:szCs w:val="32"/>
          <w:lang w:eastAsia="zh-CN"/>
        </w:rPr>
        <w:t>湖北中南华大建设项目管理有限公司</w:t>
      </w:r>
    </w:p>
    <w:p>
      <w:pPr>
        <w:pStyle w:val="29"/>
        <w:rPr>
          <w:rFonts w:hint="default" w:ascii="仿宋_GB2312" w:hAnsi="仿宋_GB2312" w:eastAsia="仿宋_GB2312" w:cs="仿宋_GB2312"/>
          <w:bCs/>
          <w:sz w:val="32"/>
          <w:szCs w:val="32"/>
        </w:rPr>
      </w:pPr>
    </w:p>
    <w:p>
      <w:pPr>
        <w:rPr>
          <w:rFonts w:hint="eastAsia" w:ascii="黑体" w:hAnsi="黑体" w:eastAsia="黑体" w:cs="黑体"/>
          <w:bCs/>
          <w:kern w:val="0"/>
          <w:sz w:val="32"/>
          <w:szCs w:val="32"/>
        </w:rPr>
      </w:pPr>
      <w:r>
        <w:rPr>
          <w:rFonts w:hint="eastAsia" w:ascii="黑体" w:hAnsi="黑体" w:eastAsia="黑体" w:cs="黑体"/>
          <w:bCs/>
          <w:kern w:val="0"/>
          <w:sz w:val="32"/>
          <w:szCs w:val="32"/>
        </w:rPr>
        <w:br w:type="page"/>
      </w:r>
    </w:p>
    <w:p>
      <w:pPr>
        <w:spacing w:line="54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第二章  投标人须知</w:t>
      </w:r>
    </w:p>
    <w:tbl>
      <w:tblPr>
        <w:tblStyle w:val="23"/>
        <w:tblpPr w:leftFromText="180" w:rightFromText="180" w:vertAnchor="text" w:horzAnchor="page" w:tblpXSpec="center" w:tblpY="268"/>
        <w:tblOverlap w:val="never"/>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1846"/>
        <w:gridCol w:w="6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62" w:type="dxa"/>
            <w:vAlign w:val="center"/>
          </w:tcPr>
          <w:p>
            <w:pPr>
              <w:pStyle w:val="14"/>
              <w:spacing w:line="56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项号</w:t>
            </w:r>
          </w:p>
        </w:tc>
        <w:tc>
          <w:tcPr>
            <w:tcW w:w="1846" w:type="dxa"/>
            <w:vAlign w:val="center"/>
          </w:tcPr>
          <w:p>
            <w:pPr>
              <w:pStyle w:val="14"/>
              <w:spacing w:line="56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内  容</w:t>
            </w:r>
          </w:p>
        </w:tc>
        <w:tc>
          <w:tcPr>
            <w:tcW w:w="6557" w:type="dxa"/>
            <w:vAlign w:val="center"/>
          </w:tcPr>
          <w:p>
            <w:pPr>
              <w:pStyle w:val="14"/>
              <w:spacing w:line="56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sz w:val="28"/>
                <w:szCs w:val="28"/>
              </w:rPr>
              <w:t>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项目概况</w:t>
            </w:r>
          </w:p>
        </w:tc>
        <w:tc>
          <w:tcPr>
            <w:tcW w:w="6557" w:type="dxa"/>
            <w:vAlign w:val="center"/>
          </w:tcPr>
          <w:p>
            <w:pPr>
              <w:autoSpaceDE w:val="0"/>
              <w:spacing w:line="540" w:lineRule="exact"/>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项目名称：</w:t>
            </w:r>
            <w:r>
              <w:rPr>
                <w:rFonts w:hint="eastAsia" w:ascii="仿宋_GB2312" w:hAnsi="仿宋_GB2312" w:eastAsia="仿宋_GB2312" w:cs="仿宋_GB2312"/>
                <w:bCs/>
                <w:sz w:val="28"/>
                <w:szCs w:val="28"/>
                <w:lang w:eastAsia="zh-CN"/>
              </w:rPr>
              <w:t>荆州区电子商务进农村省级示范项目</w:t>
            </w:r>
          </w:p>
          <w:p>
            <w:pPr>
              <w:autoSpaceDE w:val="0"/>
              <w:spacing w:line="540" w:lineRule="exact"/>
              <w:jc w:val="left"/>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项目编号：JQJC-2020FH-0</w:t>
            </w:r>
            <w:r>
              <w:rPr>
                <w:rFonts w:hint="eastAsia" w:ascii="仿宋_GB2312" w:hAnsi="仿宋_GB2312" w:eastAsia="仿宋_GB2312" w:cs="仿宋_GB2312"/>
                <w:bCs/>
                <w:sz w:val="28"/>
                <w:szCs w:val="28"/>
                <w:lang w:val="en-US" w:eastAsia="zh-CN"/>
              </w:rPr>
              <w:t>51</w:t>
            </w:r>
          </w:p>
          <w:p>
            <w:pPr>
              <w:spacing w:line="560" w:lineRule="exact"/>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采购</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荆州市荆州区商务局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服务</w:t>
            </w:r>
            <w:r>
              <w:rPr>
                <w:rFonts w:hint="eastAsia" w:ascii="仿宋_GB2312" w:hAnsi="仿宋_GB2312" w:eastAsia="仿宋_GB2312" w:cs="仿宋_GB2312"/>
                <w:sz w:val="28"/>
                <w:szCs w:val="28"/>
              </w:rPr>
              <w:t>地点</w:t>
            </w:r>
          </w:p>
        </w:tc>
        <w:tc>
          <w:tcPr>
            <w:tcW w:w="6557" w:type="dxa"/>
            <w:vAlign w:val="center"/>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lang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846" w:type="dxa"/>
            <w:vAlign w:val="center"/>
          </w:tcPr>
          <w:p>
            <w:pPr>
              <w:pStyle w:val="14"/>
              <w:spacing w:line="560" w:lineRule="exact"/>
              <w:jc w:val="center"/>
              <w:rPr>
                <w:rFonts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服务</w:t>
            </w:r>
            <w:r>
              <w:rPr>
                <w:rFonts w:hint="eastAsia" w:ascii="仿宋_GB2312" w:hAnsi="仿宋_GB2312" w:eastAsia="仿宋_GB2312" w:cs="仿宋_GB2312"/>
                <w:color w:val="auto"/>
                <w:sz w:val="28"/>
                <w:szCs w:val="28"/>
              </w:rPr>
              <w:t>期</w:t>
            </w:r>
          </w:p>
        </w:tc>
        <w:tc>
          <w:tcPr>
            <w:tcW w:w="6557" w:type="dxa"/>
            <w:vAlign w:val="center"/>
          </w:tcPr>
          <w:p>
            <w:pPr>
              <w:spacing w:line="560" w:lineRule="exact"/>
              <w:jc w:val="left"/>
              <w:rPr>
                <w:rFonts w:hint="eastAsia" w:ascii="仿宋_GB2312" w:hAnsi="仿宋_GB2312" w:eastAsia="仿宋_GB2312" w:cs="仿宋_GB2312"/>
                <w:bCs/>
                <w:color w:val="auto"/>
                <w:sz w:val="28"/>
                <w:szCs w:val="28"/>
                <w:lang w:val="en-US" w:eastAsia="zh-CN"/>
              </w:rPr>
            </w:pPr>
            <w:r>
              <w:rPr>
                <w:rFonts w:hint="eastAsia" w:ascii="仿宋_GB2312" w:hAnsi="仿宋_GB2312" w:eastAsia="仿宋_GB2312" w:cs="仿宋_GB2312"/>
                <w:bCs/>
                <w:color w:val="auto"/>
                <w:sz w:val="28"/>
                <w:szCs w:val="28"/>
                <w:lang w:val="en-US" w:eastAsia="zh-CN"/>
              </w:rPr>
              <w:t>合同签订之日起2年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62" w:type="dxa"/>
            <w:vAlign w:val="center"/>
          </w:tcPr>
          <w:p>
            <w:pPr>
              <w:pStyle w:val="14"/>
              <w:spacing w:line="56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4</w:t>
            </w:r>
          </w:p>
        </w:tc>
        <w:tc>
          <w:tcPr>
            <w:tcW w:w="1846" w:type="dxa"/>
            <w:vAlign w:val="center"/>
          </w:tcPr>
          <w:p>
            <w:pPr>
              <w:pStyle w:val="14"/>
              <w:spacing w:line="560" w:lineRule="exact"/>
              <w:jc w:val="center"/>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采购</w:t>
            </w:r>
            <w:r>
              <w:rPr>
                <w:rFonts w:hint="eastAsia" w:ascii="仿宋_GB2312" w:hAnsi="仿宋_GB2312" w:eastAsia="仿宋_GB2312" w:cs="仿宋_GB2312"/>
                <w:color w:val="000000" w:themeColor="text1"/>
                <w:sz w:val="28"/>
                <w:szCs w:val="28"/>
                <w14:textFill>
                  <w14:solidFill>
                    <w14:schemeClr w14:val="tx1"/>
                  </w14:solidFill>
                </w14:textFill>
              </w:rPr>
              <w:t>方式</w:t>
            </w:r>
          </w:p>
        </w:tc>
        <w:tc>
          <w:tcPr>
            <w:tcW w:w="6557" w:type="dxa"/>
            <w:vAlign w:val="center"/>
          </w:tcPr>
          <w:p>
            <w:pPr>
              <w:pStyle w:val="14"/>
              <w:spacing w:line="560" w:lineRule="exact"/>
              <w:ind w:left="1400" w:hanging="1400" w:hangingChars="5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采购</w:t>
            </w:r>
            <w:r>
              <w:rPr>
                <w:rFonts w:hint="eastAsia" w:ascii="仿宋_GB2312" w:hAnsi="仿宋_GB2312" w:eastAsia="仿宋_GB2312" w:cs="仿宋_GB2312"/>
                <w:sz w:val="28"/>
                <w:szCs w:val="28"/>
              </w:rPr>
              <w:t>内容</w:t>
            </w:r>
          </w:p>
        </w:tc>
        <w:tc>
          <w:tcPr>
            <w:tcW w:w="6557" w:type="dxa"/>
            <w:vAlign w:val="center"/>
          </w:tcPr>
          <w:p>
            <w:pPr>
              <w:autoSpaceDE w:val="0"/>
              <w:spacing w:line="540" w:lineRule="exact"/>
              <w:jc w:val="left"/>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区、镇、村三级电商公共服务体系建设；电商培训；区、镇、村三级物流配套体系建设；农产品上行体系建设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最高限价</w:t>
            </w:r>
          </w:p>
        </w:tc>
        <w:tc>
          <w:tcPr>
            <w:tcW w:w="6557" w:type="dxa"/>
            <w:vAlign w:val="center"/>
          </w:tcPr>
          <w:p>
            <w:pPr>
              <w:pStyle w:val="14"/>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8930000.00</w:t>
            </w:r>
            <w:r>
              <w:rPr>
                <w:rFonts w:hint="eastAsia" w:ascii="仿宋_GB2312" w:hAnsi="仿宋_GB2312" w:eastAsia="仿宋_GB2312" w:cs="仿宋_GB2312"/>
                <w:bCs/>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供应商资格</w:t>
            </w:r>
          </w:p>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条件</w:t>
            </w:r>
          </w:p>
        </w:tc>
        <w:tc>
          <w:tcPr>
            <w:tcW w:w="6557" w:type="dxa"/>
            <w:vAlign w:val="center"/>
          </w:tcPr>
          <w:p>
            <w:pPr>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详见第一章第六条“供应商资格条件”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资格审查</w:t>
            </w:r>
          </w:p>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方法</w:t>
            </w:r>
          </w:p>
        </w:tc>
        <w:tc>
          <w:tcPr>
            <w:tcW w:w="6557" w:type="dxa"/>
            <w:vAlign w:val="center"/>
          </w:tcPr>
          <w:p>
            <w:pPr>
              <w:pStyle w:val="14"/>
              <w:spacing w:line="560" w:lineRule="exact"/>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质量要求</w:t>
            </w:r>
          </w:p>
        </w:tc>
        <w:tc>
          <w:tcPr>
            <w:tcW w:w="6557" w:type="dxa"/>
            <w:vAlign w:val="center"/>
          </w:tcPr>
          <w:p>
            <w:pPr>
              <w:pStyle w:val="14"/>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投标人的</w:t>
            </w:r>
          </w:p>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替代方案</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□允许</w:t>
            </w:r>
          </w:p>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eq \o\ac(</w:instrText>
            </w:r>
            <w:r>
              <w:rPr>
                <w:rFonts w:hint="eastAsia" w:ascii="仿宋_GB2312" w:hAnsi="仿宋_GB2312" w:eastAsia="仿宋_GB2312" w:cs="仿宋_GB2312"/>
                <w:position w:val="-5"/>
                <w:sz w:val="42"/>
                <w:szCs w:val="28"/>
              </w:rPr>
              <w:instrText xml:space="preserve">□</w:instrText>
            </w:r>
            <w:r>
              <w:rPr>
                <w:rFonts w:hint="eastAsia" w:ascii="仿宋_GB2312" w:hAnsi="仿宋_GB2312" w:eastAsia="仿宋_GB2312" w:cs="仿宋_GB2312"/>
                <w:sz w:val="28"/>
                <w:szCs w:val="28"/>
              </w:rPr>
              <w:instrText xml:space="preserve">,√)</w:instrTex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联合体投标</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投标保证金</w:t>
            </w:r>
          </w:p>
        </w:tc>
        <w:tc>
          <w:tcPr>
            <w:tcW w:w="6557" w:type="dxa"/>
            <w:vAlign w:val="center"/>
          </w:tcPr>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本项目无投标保证金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投标文件</w:t>
            </w:r>
          </w:p>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份数及密封要求</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正本1份，副本2份（用纸外形尺寸统一为A4纸规格）。装在一个包封中密封，外包封中注明项目编号、项目名称、报价单位名称并加盖密封章。</w:t>
            </w:r>
            <w:r>
              <w:rPr>
                <w:rFonts w:hint="eastAsia" w:ascii="仿宋_GB2312" w:hAnsi="仿宋_GB2312" w:eastAsia="仿宋_GB2312" w:cs="仿宋_GB2312"/>
                <w:b w:val="0"/>
                <w:bCs w:val="0"/>
                <w:sz w:val="28"/>
                <w:szCs w:val="28"/>
              </w:rPr>
              <w:t>开标前提供法人授权委托书及委托人身份证原件核对身份信息。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评标标准和方法</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eq \o\ac(</w:instrText>
            </w:r>
            <w:r>
              <w:rPr>
                <w:rFonts w:hint="eastAsia" w:ascii="仿宋_GB2312" w:hAnsi="仿宋_GB2312" w:eastAsia="仿宋_GB2312" w:cs="仿宋_GB2312"/>
                <w:position w:val="-5"/>
                <w:sz w:val="42"/>
                <w:szCs w:val="28"/>
              </w:rPr>
              <w:instrText xml:space="preserve">□</w:instrText>
            </w:r>
            <w:r>
              <w:rPr>
                <w:rFonts w:hint="eastAsia" w:ascii="仿宋_GB2312" w:hAnsi="仿宋_GB2312" w:eastAsia="仿宋_GB2312" w:cs="仿宋_GB2312"/>
                <w:sz w:val="28"/>
                <w:szCs w:val="28"/>
              </w:rPr>
              <w:instrText xml:space="preserve">)</w:instrTex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经评审的最低投标价法</w:t>
            </w:r>
          </w:p>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eq \o\ac(</w:instrText>
            </w:r>
            <w:r>
              <w:rPr>
                <w:rFonts w:hint="eastAsia" w:ascii="仿宋_GB2312" w:hAnsi="仿宋_GB2312" w:eastAsia="仿宋_GB2312" w:cs="仿宋_GB2312"/>
                <w:position w:val="-5"/>
                <w:sz w:val="42"/>
                <w:szCs w:val="28"/>
              </w:rPr>
              <w:instrText xml:space="preserve">□</w:instrText>
            </w:r>
            <w:r>
              <w:rPr>
                <w:rFonts w:hint="eastAsia" w:ascii="仿宋_GB2312" w:hAnsi="仿宋_GB2312" w:eastAsia="仿宋_GB2312" w:cs="仿宋_GB2312"/>
                <w:position w:val="-5"/>
                <w:sz w:val="42"/>
                <w:szCs w:val="28"/>
                <w:lang w:eastAsia="zh-CN"/>
              </w:rPr>
              <w:instrText xml:space="preserve">,</w:instrText>
            </w:r>
            <w:r>
              <w:rPr>
                <w:rFonts w:hint="eastAsia" w:ascii="仿宋_GB2312" w:hAnsi="仿宋_GB2312" w:eastAsia="仿宋_GB2312" w:cs="仿宋_GB2312"/>
                <w:position w:val="0"/>
                <w:sz w:val="29"/>
                <w:szCs w:val="28"/>
                <w:lang w:eastAsia="zh-CN"/>
              </w:rPr>
              <w:instrText xml:space="preserve">√</w:instrText>
            </w:r>
            <w:r>
              <w:rPr>
                <w:rFonts w:hint="eastAsia" w:ascii="仿宋_GB2312" w:hAnsi="仿宋_GB2312" w:eastAsia="仿宋_GB2312" w:cs="仿宋_GB2312"/>
                <w:sz w:val="28"/>
                <w:szCs w:val="28"/>
              </w:rPr>
              <w:instrText xml:space="preserve">)</w:instrTex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综合评分法</w:t>
            </w:r>
          </w:p>
          <w:p>
            <w:pPr>
              <w:pStyle w:val="14"/>
              <w:spacing w:line="560" w:lineRule="exact"/>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获取</w:t>
            </w:r>
          </w:p>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招标文件</w:t>
            </w:r>
          </w:p>
        </w:tc>
        <w:tc>
          <w:tcPr>
            <w:tcW w:w="6557" w:type="dxa"/>
            <w:vAlign w:val="center"/>
          </w:tcPr>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地点：</w:t>
            </w:r>
            <w:r>
              <w:rPr>
                <w:rFonts w:hint="eastAsia" w:ascii="仿宋_GB2312" w:hAnsi="仿宋_GB2312" w:eastAsia="仿宋_GB2312" w:cs="仿宋_GB2312"/>
                <w:sz w:val="28"/>
                <w:szCs w:val="28"/>
                <w:lang w:val="en-US" w:eastAsia="zh-CN"/>
              </w:rPr>
              <w:t>在招标公告附件中自行下载</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14</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18</w:t>
            </w:r>
            <w:r>
              <w:rPr>
                <w:rFonts w:hint="eastAsia" w:ascii="仿宋_GB2312" w:hAnsi="仿宋_GB2312" w:eastAsia="仿宋_GB2312" w:cs="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提疑方式</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书面提疑</w:t>
            </w:r>
          </w:p>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提疑截止时间：</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w:t>
            </w:r>
            <w:r>
              <w:rPr>
                <w:rFonts w:hint="eastAsia" w:ascii="仿宋_GB2312" w:hAnsi="仿宋_GB2312" w:eastAsia="仿宋_GB2312" w:cs="仿宋_GB2312"/>
                <w:spacing w:val="-6"/>
                <w:sz w:val="28"/>
                <w:szCs w:val="28"/>
                <w:lang w:val="en-US" w:eastAsia="zh-CN"/>
              </w:rPr>
              <w:t>8</w:t>
            </w:r>
            <w:r>
              <w:rPr>
                <w:rFonts w:hint="eastAsia"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lang w:val="en-US" w:eastAsia="zh-CN"/>
              </w:rPr>
              <w:t>3</w:t>
            </w:r>
            <w:r>
              <w:rPr>
                <w:rFonts w:hint="eastAsia" w:ascii="仿宋_GB2312" w:hAnsi="仿宋_GB2312" w:eastAsia="仿宋_GB2312" w:cs="仿宋_GB2312"/>
                <w:spacing w:val="-6"/>
                <w:sz w:val="28"/>
                <w:szCs w:val="28"/>
              </w:rPr>
              <w:t>0—1</w:t>
            </w:r>
            <w:r>
              <w:rPr>
                <w:rFonts w:hint="eastAsia" w:ascii="仿宋_GB2312" w:hAnsi="仿宋_GB2312" w:eastAsia="仿宋_GB2312" w:cs="仿宋_GB2312"/>
                <w:spacing w:val="-6"/>
                <w:sz w:val="28"/>
                <w:szCs w:val="28"/>
                <w:lang w:val="en-US" w:eastAsia="zh-CN"/>
              </w:rPr>
              <w:t>2</w:t>
            </w:r>
            <w:r>
              <w:rPr>
                <w:rFonts w:hint="eastAsia"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lang w:val="en-US" w:eastAsia="zh-CN"/>
              </w:rPr>
              <w:t>0</w:t>
            </w:r>
            <w:r>
              <w:rPr>
                <w:rFonts w:hint="eastAsia" w:ascii="仿宋_GB2312" w:hAnsi="仿宋_GB2312" w:eastAsia="仿宋_GB2312" w:cs="仿宋_GB2312"/>
                <w:spacing w:val="-6"/>
                <w:sz w:val="28"/>
                <w:szCs w:val="28"/>
              </w:rPr>
              <w:t>0</w:t>
            </w:r>
          </w:p>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  点：荆州市荆州区公共资源交易中心(政府采购中心）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17</w:t>
            </w:r>
          </w:p>
        </w:tc>
        <w:tc>
          <w:tcPr>
            <w:tcW w:w="1846" w:type="dxa"/>
            <w:vAlign w:val="center"/>
          </w:tcPr>
          <w:p>
            <w:pPr>
              <w:pStyle w:val="14"/>
              <w:spacing w:line="54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采购人</w:t>
            </w:r>
            <w:r>
              <w:rPr>
                <w:rFonts w:hint="eastAsia" w:ascii="仿宋_GB2312" w:hAnsi="仿宋_GB2312" w:eastAsia="仿宋_GB2312" w:cs="仿宋_GB2312"/>
                <w:sz w:val="28"/>
                <w:szCs w:val="28"/>
              </w:rPr>
              <w:t>对招标文件的澄清或修补、答疑的时间及地点</w:t>
            </w:r>
          </w:p>
        </w:tc>
        <w:tc>
          <w:tcPr>
            <w:tcW w:w="6557" w:type="dxa"/>
            <w:vAlign w:val="center"/>
          </w:tcPr>
          <w:p>
            <w:pPr>
              <w:pStyle w:val="14"/>
              <w:spacing w:line="6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书面答疑、澄清</w:t>
            </w:r>
          </w:p>
          <w:p>
            <w:pPr>
              <w:pStyle w:val="14"/>
              <w:spacing w:line="660" w:lineRule="exact"/>
              <w:rPr>
                <w:rFonts w:ascii="仿宋_GB2312" w:hAnsi="仿宋_GB2312" w:eastAsia="仿宋_GB2312" w:cs="仿宋_GB2312"/>
                <w:spacing w:val="-6"/>
                <w:sz w:val="28"/>
                <w:szCs w:val="28"/>
              </w:rPr>
            </w:pPr>
            <w:r>
              <w:rPr>
                <w:rFonts w:hint="eastAsia" w:ascii="仿宋_GB2312" w:hAnsi="仿宋_GB2312" w:eastAsia="仿宋_GB2312" w:cs="仿宋_GB2312"/>
                <w:sz w:val="28"/>
                <w:szCs w:val="28"/>
              </w:rPr>
              <w:t>时  间：</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日</w:t>
            </w:r>
            <w:r>
              <w:rPr>
                <w:rFonts w:hint="eastAsia" w:ascii="仿宋_GB2312" w:hAnsi="仿宋_GB2312" w:eastAsia="仿宋_GB2312" w:cs="仿宋_GB2312"/>
                <w:spacing w:val="-6"/>
                <w:sz w:val="28"/>
                <w:szCs w:val="28"/>
              </w:rPr>
              <w:t>1</w:t>
            </w:r>
            <w:r>
              <w:rPr>
                <w:rFonts w:hint="eastAsia" w:ascii="仿宋_GB2312" w:hAnsi="仿宋_GB2312" w:eastAsia="仿宋_GB2312" w:cs="仿宋_GB2312"/>
                <w:spacing w:val="-6"/>
                <w:sz w:val="28"/>
                <w:szCs w:val="28"/>
                <w:lang w:val="en-US" w:eastAsia="zh-CN"/>
              </w:rPr>
              <w:t>4</w:t>
            </w:r>
            <w:r>
              <w:rPr>
                <w:rFonts w:hint="eastAsia" w:ascii="仿宋_GB2312" w:hAnsi="仿宋_GB2312" w:eastAsia="仿宋_GB2312" w:cs="仿宋_GB2312"/>
                <w:spacing w:val="-6"/>
                <w:sz w:val="28"/>
                <w:szCs w:val="28"/>
              </w:rPr>
              <w:t>：</w:t>
            </w:r>
            <w:r>
              <w:rPr>
                <w:rFonts w:hint="eastAsia" w:ascii="仿宋_GB2312" w:hAnsi="仿宋_GB2312" w:eastAsia="仿宋_GB2312" w:cs="仿宋_GB2312"/>
                <w:spacing w:val="-6"/>
                <w:sz w:val="28"/>
                <w:szCs w:val="28"/>
                <w:lang w:val="en-US" w:eastAsia="zh-CN"/>
              </w:rPr>
              <w:t>3</w:t>
            </w:r>
            <w:r>
              <w:rPr>
                <w:rFonts w:hint="eastAsia" w:ascii="仿宋_GB2312" w:hAnsi="仿宋_GB2312" w:eastAsia="仿宋_GB2312" w:cs="仿宋_GB2312"/>
                <w:spacing w:val="-6"/>
                <w:sz w:val="28"/>
                <w:szCs w:val="28"/>
              </w:rPr>
              <w:t>0—17：30</w:t>
            </w:r>
          </w:p>
          <w:p>
            <w:pPr>
              <w:pStyle w:val="14"/>
              <w:spacing w:line="6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  点：荆州市荆州区公共资源交易中心(政府采购中心）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18</w:t>
            </w:r>
          </w:p>
        </w:tc>
        <w:tc>
          <w:tcPr>
            <w:tcW w:w="1846" w:type="dxa"/>
            <w:vAlign w:val="center"/>
          </w:tcPr>
          <w:p>
            <w:pPr>
              <w:pStyle w:val="14"/>
              <w:spacing w:line="560" w:lineRule="exact"/>
              <w:ind w:left="71" w:leftChars="34"/>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投标文件的递交时间</w:t>
            </w:r>
          </w:p>
        </w:tc>
        <w:tc>
          <w:tcPr>
            <w:tcW w:w="6557" w:type="dxa"/>
            <w:vAlign w:val="center"/>
          </w:tcPr>
          <w:p>
            <w:pPr>
              <w:pStyle w:val="14"/>
              <w:spacing w:line="6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   点：荆州市荆州区公共资源交易中心(政府采购中心）</w:t>
            </w:r>
          </w:p>
          <w:p>
            <w:pPr>
              <w:pStyle w:val="14"/>
              <w:spacing w:line="660" w:lineRule="exact"/>
              <w:rPr>
                <w:rFonts w:ascii="仿宋_GB2312" w:hAnsi="仿宋_GB2312" w:eastAsia="仿宋_GB2312" w:cs="仿宋_GB2312"/>
                <w:spacing w:val="-6"/>
                <w:sz w:val="28"/>
                <w:szCs w:val="28"/>
              </w:rPr>
            </w:pPr>
            <w:r>
              <w:rPr>
                <w:rFonts w:hint="eastAsia" w:ascii="仿宋_GB2312" w:hAnsi="仿宋_GB2312" w:eastAsia="仿宋_GB2312" w:cs="仿宋_GB2312"/>
                <w:spacing w:val="-6"/>
                <w:sz w:val="28"/>
                <w:szCs w:val="28"/>
              </w:rPr>
              <w:t>受理时间：</w:t>
            </w:r>
            <w:r>
              <w:rPr>
                <w:rFonts w:hint="eastAsia" w:ascii="仿宋_GB2312" w:hAnsi="仿宋_GB2312" w:eastAsia="仿宋_GB2312" w:cs="仿宋_GB2312"/>
                <w:spacing w:val="-6"/>
                <w:sz w:val="28"/>
                <w:szCs w:val="28"/>
                <w:lang w:val="en-US" w:eastAsia="zh-CN"/>
              </w:rPr>
              <w:t>2020</w:t>
            </w:r>
            <w:r>
              <w:rPr>
                <w:rFonts w:hint="eastAsia" w:ascii="仿宋_GB2312" w:hAnsi="仿宋_GB2312" w:eastAsia="仿宋_GB2312" w:cs="仿宋_GB2312"/>
                <w:spacing w:val="-6"/>
                <w:sz w:val="28"/>
                <w:szCs w:val="28"/>
              </w:rPr>
              <w:t>年</w:t>
            </w:r>
            <w:r>
              <w:rPr>
                <w:rFonts w:hint="eastAsia" w:ascii="仿宋_GB2312" w:hAnsi="仿宋_GB2312" w:eastAsia="仿宋_GB2312" w:cs="仿宋_GB2312"/>
                <w:spacing w:val="-6"/>
                <w:sz w:val="28"/>
                <w:szCs w:val="28"/>
                <w:lang w:val="en-US" w:eastAsia="zh-CN"/>
              </w:rPr>
              <w:t>10</w:t>
            </w:r>
            <w:r>
              <w:rPr>
                <w:rFonts w:hint="eastAsia" w:ascii="仿宋_GB2312" w:hAnsi="仿宋_GB2312" w:eastAsia="仿宋_GB2312" w:cs="仿宋_GB2312"/>
                <w:spacing w:val="-6"/>
                <w:sz w:val="28"/>
                <w:szCs w:val="28"/>
              </w:rPr>
              <w:t>月</w:t>
            </w:r>
            <w:r>
              <w:rPr>
                <w:rFonts w:hint="eastAsia" w:ascii="仿宋_GB2312" w:hAnsi="仿宋_GB2312" w:eastAsia="仿宋_GB2312" w:cs="仿宋_GB2312"/>
                <w:spacing w:val="-6"/>
                <w:sz w:val="28"/>
                <w:szCs w:val="28"/>
                <w:lang w:val="en-US" w:eastAsia="zh-CN"/>
              </w:rPr>
              <w:t>10</w:t>
            </w:r>
            <w:r>
              <w:rPr>
                <w:rFonts w:hint="eastAsia" w:ascii="仿宋_GB2312" w:hAnsi="仿宋_GB2312" w:eastAsia="仿宋_GB2312" w:cs="仿宋_GB2312"/>
                <w:spacing w:val="-6"/>
                <w:sz w:val="28"/>
                <w:szCs w:val="28"/>
              </w:rPr>
              <w:t>日</w:t>
            </w:r>
            <w:r>
              <w:rPr>
                <w:rFonts w:hint="eastAsia" w:ascii="仿宋_GB2312" w:hAnsi="仿宋_GB2312" w:eastAsia="仿宋_GB2312" w:cs="仿宋_GB2312"/>
                <w:spacing w:val="-6"/>
                <w:sz w:val="28"/>
                <w:szCs w:val="28"/>
                <w:lang w:val="en-US" w:eastAsia="zh-CN"/>
              </w:rPr>
              <w:t xml:space="preserve">9：00 —— 10：00  </w:t>
            </w:r>
            <w:r>
              <w:rPr>
                <w:rFonts w:hint="eastAsia" w:ascii="仿宋_GB2312" w:hAnsi="仿宋_GB2312" w:eastAsia="仿宋_GB2312" w:cs="仿宋_GB2312"/>
                <w:spacing w:val="-6"/>
                <w:sz w:val="28"/>
                <w:szCs w:val="28"/>
              </w:rPr>
              <w:t xml:space="preserve">           </w:t>
            </w:r>
          </w:p>
          <w:p>
            <w:pPr>
              <w:pStyle w:val="14"/>
              <w:spacing w:line="6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截止时间：</w:t>
            </w:r>
            <w:r>
              <w:rPr>
                <w:rFonts w:hint="eastAsia" w:ascii="仿宋_GB2312" w:hAnsi="仿宋_GB2312" w:eastAsia="仿宋_GB2312" w:cs="仿宋_GB2312"/>
                <w:spacing w:val="-6"/>
                <w:sz w:val="28"/>
                <w:szCs w:val="28"/>
              </w:rPr>
              <w:t>20</w:t>
            </w:r>
            <w:r>
              <w:rPr>
                <w:rFonts w:hint="eastAsia" w:ascii="仿宋_GB2312" w:hAnsi="仿宋_GB2312" w:eastAsia="仿宋_GB2312" w:cs="仿宋_GB2312"/>
                <w:spacing w:val="-6"/>
                <w:sz w:val="28"/>
                <w:szCs w:val="28"/>
                <w:lang w:val="en-US" w:eastAsia="zh-CN"/>
              </w:rPr>
              <w:t>20</w:t>
            </w:r>
            <w:r>
              <w:rPr>
                <w:rFonts w:hint="eastAsia" w:ascii="仿宋_GB2312" w:hAnsi="仿宋_GB2312" w:eastAsia="仿宋_GB2312" w:cs="仿宋_GB2312"/>
                <w:spacing w:val="-6"/>
                <w:sz w:val="28"/>
                <w:szCs w:val="28"/>
              </w:rPr>
              <w:t>年</w:t>
            </w:r>
            <w:r>
              <w:rPr>
                <w:rFonts w:hint="eastAsia" w:ascii="仿宋_GB2312" w:hAnsi="仿宋_GB2312" w:eastAsia="仿宋_GB2312" w:cs="仿宋_GB2312"/>
                <w:spacing w:val="-6"/>
                <w:sz w:val="28"/>
                <w:szCs w:val="28"/>
                <w:lang w:val="en-US" w:eastAsia="zh-CN"/>
              </w:rPr>
              <w:t>10</w:t>
            </w:r>
            <w:r>
              <w:rPr>
                <w:rFonts w:hint="eastAsia" w:ascii="仿宋_GB2312" w:hAnsi="仿宋_GB2312" w:eastAsia="仿宋_GB2312" w:cs="仿宋_GB2312"/>
                <w:spacing w:val="-6"/>
                <w:sz w:val="28"/>
                <w:szCs w:val="28"/>
              </w:rPr>
              <w:t>月</w:t>
            </w:r>
            <w:r>
              <w:rPr>
                <w:rFonts w:hint="eastAsia" w:ascii="仿宋_GB2312" w:hAnsi="仿宋_GB2312" w:eastAsia="仿宋_GB2312" w:cs="仿宋_GB2312"/>
                <w:spacing w:val="-6"/>
                <w:sz w:val="28"/>
                <w:szCs w:val="28"/>
                <w:lang w:val="en-US" w:eastAsia="zh-CN"/>
              </w:rPr>
              <w:t>10</w:t>
            </w:r>
            <w:r>
              <w:rPr>
                <w:rFonts w:hint="eastAsia" w:ascii="仿宋_GB2312" w:hAnsi="仿宋_GB2312" w:eastAsia="仿宋_GB2312" w:cs="仿宋_GB2312"/>
                <w:spacing w:val="-6"/>
                <w:sz w:val="28"/>
                <w:szCs w:val="28"/>
              </w:rPr>
              <w:t>日</w:t>
            </w:r>
            <w:r>
              <w:rPr>
                <w:rFonts w:hint="eastAsia" w:ascii="仿宋_GB2312" w:hAnsi="仿宋_GB2312" w:eastAsia="仿宋_GB2312" w:cs="仿宋_GB2312"/>
                <w:spacing w:val="-6"/>
                <w:sz w:val="28"/>
                <w:szCs w:val="28"/>
                <w:lang w:val="en-US" w:eastAsia="zh-CN"/>
              </w:rPr>
              <w:t>10：00</w:t>
            </w:r>
            <w:r>
              <w:rPr>
                <w:rFonts w:hint="eastAsia" w:ascii="仿宋_GB2312" w:hAnsi="仿宋_GB2312" w:eastAsia="仿宋_GB2312" w:cs="仿宋_GB2312"/>
                <w:spacing w:val="-6"/>
                <w:sz w:val="28"/>
                <w:szCs w:val="28"/>
              </w:rPr>
              <w:t>（迟交的投标文件将被拒绝）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19</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投标有效期</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90 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开标会</w:t>
            </w:r>
          </w:p>
        </w:tc>
        <w:tc>
          <w:tcPr>
            <w:tcW w:w="6557" w:type="dxa"/>
            <w:vAlign w:val="center"/>
          </w:tcPr>
          <w:p>
            <w:pPr>
              <w:pStyle w:val="14"/>
              <w:spacing w:line="6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地点： 荆州市荆州区公共资源交易中心(政府采购中心）</w:t>
            </w:r>
          </w:p>
          <w:p>
            <w:pPr>
              <w:pStyle w:val="14"/>
              <w:spacing w:line="6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时间：</w:t>
            </w:r>
            <w:r>
              <w:rPr>
                <w:rFonts w:hint="eastAsia" w:ascii="仿宋_GB2312" w:hAnsi="仿宋_GB2312" w:eastAsia="仿宋_GB2312" w:cs="仿宋_GB2312"/>
                <w:spacing w:val="-6"/>
                <w:sz w:val="28"/>
                <w:szCs w:val="28"/>
              </w:rPr>
              <w:t xml:space="preserve"> 20</w:t>
            </w:r>
            <w:r>
              <w:rPr>
                <w:rFonts w:hint="eastAsia" w:ascii="仿宋_GB2312" w:hAnsi="仿宋_GB2312" w:eastAsia="仿宋_GB2312" w:cs="仿宋_GB2312"/>
                <w:spacing w:val="-6"/>
                <w:sz w:val="28"/>
                <w:szCs w:val="28"/>
                <w:lang w:val="en-US" w:eastAsia="zh-CN"/>
              </w:rPr>
              <w:t>20</w:t>
            </w:r>
            <w:r>
              <w:rPr>
                <w:rFonts w:hint="eastAsia" w:ascii="仿宋_GB2312" w:hAnsi="仿宋_GB2312" w:eastAsia="仿宋_GB2312" w:cs="仿宋_GB2312"/>
                <w:spacing w:val="-6"/>
                <w:sz w:val="28"/>
                <w:szCs w:val="28"/>
              </w:rPr>
              <w:t>年</w:t>
            </w:r>
            <w:r>
              <w:rPr>
                <w:rFonts w:hint="eastAsia" w:ascii="仿宋_GB2312" w:hAnsi="仿宋_GB2312" w:eastAsia="仿宋_GB2312" w:cs="仿宋_GB2312"/>
                <w:spacing w:val="-6"/>
                <w:sz w:val="28"/>
                <w:szCs w:val="28"/>
                <w:lang w:val="en-US" w:eastAsia="zh-CN"/>
              </w:rPr>
              <w:t>10</w:t>
            </w:r>
            <w:r>
              <w:rPr>
                <w:rFonts w:hint="eastAsia" w:ascii="仿宋_GB2312" w:hAnsi="仿宋_GB2312" w:eastAsia="仿宋_GB2312" w:cs="仿宋_GB2312"/>
                <w:spacing w:val="-6"/>
                <w:sz w:val="28"/>
                <w:szCs w:val="28"/>
              </w:rPr>
              <w:t>月</w:t>
            </w:r>
            <w:r>
              <w:rPr>
                <w:rFonts w:hint="eastAsia" w:ascii="仿宋_GB2312" w:hAnsi="仿宋_GB2312" w:eastAsia="仿宋_GB2312" w:cs="仿宋_GB2312"/>
                <w:spacing w:val="-6"/>
                <w:sz w:val="28"/>
                <w:szCs w:val="28"/>
                <w:lang w:val="en-US" w:eastAsia="zh-CN"/>
              </w:rPr>
              <w:t>10</w:t>
            </w:r>
            <w:r>
              <w:rPr>
                <w:rFonts w:hint="eastAsia" w:ascii="仿宋_GB2312" w:hAnsi="仿宋_GB2312" w:eastAsia="仿宋_GB2312" w:cs="仿宋_GB2312"/>
                <w:spacing w:val="-6"/>
                <w:sz w:val="28"/>
                <w:szCs w:val="28"/>
              </w:rPr>
              <w:t>日</w:t>
            </w:r>
            <w:r>
              <w:rPr>
                <w:rFonts w:hint="eastAsia" w:ascii="仿宋_GB2312" w:hAnsi="仿宋_GB2312" w:eastAsia="仿宋_GB2312" w:cs="仿宋_GB2312"/>
                <w:spacing w:val="-6"/>
                <w:sz w:val="28"/>
                <w:szCs w:val="28"/>
                <w:lang w:val="en-US" w:eastAsia="zh-CN"/>
              </w:rPr>
              <w:t>10：00</w:t>
            </w:r>
            <w:r>
              <w:rPr>
                <w:rFonts w:hint="eastAsia" w:ascii="仿宋_GB2312" w:hAnsi="仿宋_GB2312" w:eastAsia="仿宋_GB2312" w:cs="仿宋_GB2312"/>
                <w:spacing w:val="-6"/>
                <w:sz w:val="28"/>
                <w:szCs w:val="28"/>
              </w:rPr>
              <w:t xml:space="preserve">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21</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宣布投标文件开启顺序</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按投标文件递交先后顺序进行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22</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发出中标</w:t>
            </w:r>
          </w:p>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通知书</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投标有效期满30天前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23</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签订合同</w:t>
            </w:r>
          </w:p>
        </w:tc>
        <w:tc>
          <w:tcPr>
            <w:tcW w:w="6557" w:type="dxa"/>
            <w:vAlign w:val="center"/>
          </w:tcPr>
          <w:p>
            <w:pPr>
              <w:pStyle w:val="14"/>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收到中标通知书30天内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62"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24</w:t>
            </w:r>
          </w:p>
        </w:tc>
        <w:tc>
          <w:tcPr>
            <w:tcW w:w="1846" w:type="dxa"/>
            <w:vAlign w:val="center"/>
          </w:tcPr>
          <w:p>
            <w:pPr>
              <w:pStyle w:val="14"/>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投标费用</w:t>
            </w:r>
          </w:p>
        </w:tc>
        <w:tc>
          <w:tcPr>
            <w:tcW w:w="6557" w:type="dxa"/>
            <w:vAlign w:val="center"/>
          </w:tcPr>
          <w:p>
            <w:pPr>
              <w:pStyle w:val="14"/>
              <w:numPr>
                <w:ilvl w:val="0"/>
                <w:numId w:val="5"/>
              </w:numPr>
              <w:spacing w:line="6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投标人在投标过程中的一切费用，不论中标与否，均由投标人自负。</w:t>
            </w:r>
          </w:p>
          <w:p>
            <w:pPr>
              <w:pStyle w:val="14"/>
              <w:numPr>
                <w:ilvl w:val="0"/>
                <w:numId w:val="5"/>
              </w:numPr>
              <w:spacing w:line="6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招标代理费：</w:t>
            </w:r>
            <w:r>
              <w:rPr>
                <w:rFonts w:hint="eastAsia" w:ascii="仿宋_GB2312" w:hAnsi="仿宋_GB2312" w:eastAsia="仿宋_GB2312" w:cs="仿宋_GB2312"/>
                <w:sz w:val="28"/>
                <w:szCs w:val="28"/>
              </w:rPr>
              <w:t>根据《政府采购代理机构管理暂行办法》财库〔2018〕2号第十五条规定，按照该项目招标代理委托协议约定，本项目招标代理费由成交（中标）供应商在领取成交（中标）通知书时向代理</w:t>
            </w:r>
            <w:r>
              <w:rPr>
                <w:rFonts w:hint="eastAsia" w:ascii="仿宋_GB2312" w:hAnsi="仿宋_GB2312" w:eastAsia="仿宋_GB2312" w:cs="仿宋_GB2312"/>
                <w:color w:val="auto"/>
                <w:sz w:val="28"/>
                <w:szCs w:val="28"/>
              </w:rPr>
              <w:t>机构支付</w:t>
            </w:r>
            <w:r>
              <w:rPr>
                <w:rFonts w:hint="eastAsia" w:ascii="仿宋_GB2312" w:hAnsi="仿宋_GB2312" w:eastAsia="仿宋_GB2312" w:cs="仿宋_GB2312"/>
                <w:color w:val="auto"/>
                <w:sz w:val="28"/>
                <w:szCs w:val="28"/>
                <w:lang w:val="en-US" w:eastAsia="zh-CN"/>
              </w:rPr>
              <w:t>58000.00</w:t>
            </w:r>
            <w:r>
              <w:rPr>
                <w:rFonts w:hint="eastAsia" w:ascii="仿宋_GB2312" w:hAnsi="仿宋_GB2312" w:eastAsia="仿宋_GB2312" w:cs="仿宋_GB2312"/>
                <w:color w:val="auto"/>
                <w:sz w:val="28"/>
                <w:szCs w:val="28"/>
              </w:rPr>
              <w:t>元。</w:t>
            </w:r>
          </w:p>
        </w:tc>
      </w:tr>
    </w:tbl>
    <w:p>
      <w:r>
        <w:br w:type="page"/>
      </w:r>
    </w:p>
    <w:p>
      <w:pPr>
        <w:pStyle w:val="2"/>
      </w:pPr>
    </w:p>
    <w:p>
      <w:pPr>
        <w:pStyle w:val="4"/>
        <w:spacing w:before="480" w:line="560" w:lineRule="exact"/>
        <w:ind w:firstLine="360" w:firstLineChars="112"/>
        <w:jc w:val="center"/>
        <w:rPr>
          <w:rFonts w:ascii="仿宋_GB2312" w:hAnsi="仿宋_GB2312" w:eastAsia="仿宋_GB2312" w:cs="仿宋_GB2312"/>
        </w:rPr>
      </w:pPr>
      <w:r>
        <w:rPr>
          <w:rFonts w:hint="eastAsia" w:ascii="仿宋_GB2312" w:hAnsi="仿宋_GB2312" w:eastAsia="仿宋_GB2312" w:cs="仿宋_GB2312"/>
        </w:rPr>
        <w:t>一、总  则</w:t>
      </w:r>
    </w:p>
    <w:p>
      <w:pPr>
        <w:pStyle w:val="5"/>
        <w:spacing w:beforeLines="50" w:afterLines="50" w:line="560" w:lineRule="exact"/>
        <w:ind w:firstLine="691" w:firstLineChars="215"/>
        <w:rPr>
          <w:rFonts w:ascii="仿宋_GB2312" w:hAnsi="仿宋_GB2312" w:eastAsia="仿宋_GB2312" w:cs="仿宋_GB2312"/>
          <w:sz w:val="32"/>
          <w:szCs w:val="32"/>
        </w:rPr>
      </w:pPr>
      <w:r>
        <w:rPr>
          <w:rFonts w:hint="eastAsia" w:ascii="仿宋_GB2312" w:hAnsi="仿宋_GB2312" w:eastAsia="仿宋_GB2312" w:cs="仿宋_GB2312"/>
          <w:sz w:val="32"/>
          <w:szCs w:val="32"/>
        </w:rPr>
        <w:t>1.招标内容</w:t>
      </w:r>
    </w:p>
    <w:p>
      <w:pPr>
        <w:spacing w:line="540" w:lineRule="exact"/>
        <w:ind w:left="638" w:leftChars="304"/>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采购</w:t>
      </w:r>
      <w:r>
        <w:rPr>
          <w:rFonts w:hint="eastAsia" w:ascii="仿宋_GB2312" w:hAnsi="仿宋_GB2312" w:eastAsia="仿宋_GB2312" w:cs="仿宋_GB2312"/>
          <w:sz w:val="32"/>
          <w:szCs w:val="32"/>
        </w:rPr>
        <w:t>内容：</w:t>
      </w:r>
      <w:r>
        <w:rPr>
          <w:rFonts w:hint="eastAsia" w:ascii="仿宋_GB2312" w:hAnsi="仿宋_GB2312" w:eastAsia="仿宋_GB2312" w:cs="仿宋_GB2312"/>
          <w:color w:val="000000" w:themeColor="text1"/>
          <w:sz w:val="32"/>
          <w:szCs w:val="32"/>
          <w:lang w:eastAsia="zh-CN"/>
          <w14:textFill>
            <w14:solidFill>
              <w14:schemeClr w14:val="tx1"/>
            </w14:solidFill>
          </w14:textFill>
        </w:rPr>
        <w:t>区、镇、村三级电商公共服务体系建设；电商培训；区、镇、村三级物流配套体系建设；农产品上行体系建设</w:t>
      </w:r>
    </w:p>
    <w:p>
      <w:pPr>
        <w:spacing w:line="540" w:lineRule="exact"/>
        <w:ind w:left="638" w:leftChars="304"/>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1.2项目要求：</w:t>
      </w:r>
      <w:r>
        <w:rPr>
          <w:rFonts w:hint="eastAsia" w:ascii="仿宋_GB2312" w:hAnsi="仿宋_GB2312" w:eastAsia="仿宋_GB2312" w:cs="仿宋_GB2312"/>
          <w:color w:val="000000" w:themeColor="text1"/>
          <w:sz w:val="32"/>
          <w:szCs w:val="32"/>
          <w14:textFill>
            <w14:solidFill>
              <w14:schemeClr w14:val="tx1"/>
            </w14:solidFill>
          </w14:textFill>
        </w:rPr>
        <w:t>详见“第三章”招标内容及技术要求</w:t>
      </w:r>
    </w:p>
    <w:p>
      <w:pPr>
        <w:spacing w:line="54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2.合格的投标人：详见“第一章”第六条</w:t>
      </w:r>
    </w:p>
    <w:p>
      <w:pPr>
        <w:spacing w:line="540" w:lineRule="exact"/>
        <w:ind w:left="638" w:leftChars="304"/>
        <w:rPr>
          <w:rFonts w:eastAsia="宋体"/>
        </w:rPr>
      </w:pPr>
      <w:r>
        <w:rPr>
          <w:rFonts w:hint="eastAsia" w:ascii="仿宋_GB2312" w:hAnsi="仿宋_GB2312" w:eastAsia="仿宋_GB2312" w:cs="仿宋_GB2312"/>
          <w:sz w:val="32"/>
          <w:szCs w:val="32"/>
        </w:rPr>
        <w:t>3.相关费用:投标人应自行承担所有准备和参加投标有关费用。</w:t>
      </w:r>
    </w:p>
    <w:p>
      <w:pPr>
        <w:pStyle w:val="4"/>
        <w:spacing w:line="560" w:lineRule="exact"/>
        <w:jc w:val="center"/>
        <w:rPr>
          <w:rFonts w:ascii="仿宋_GB2312" w:hAnsi="仿宋_GB2312" w:eastAsia="仿宋_GB2312" w:cs="仿宋_GB2312"/>
        </w:rPr>
      </w:pPr>
      <w:r>
        <w:rPr>
          <w:rFonts w:hint="eastAsia" w:ascii="仿宋_GB2312" w:hAnsi="仿宋_GB2312" w:eastAsia="仿宋_GB2312" w:cs="仿宋_GB2312"/>
        </w:rPr>
        <w:t>二、招标文件</w:t>
      </w:r>
    </w:p>
    <w:p>
      <w:pPr>
        <w:pStyle w:val="5"/>
        <w:spacing w:before="0" w:after="0"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1．招标文件的构成</w:t>
      </w:r>
    </w:p>
    <w:p>
      <w:pPr>
        <w:tabs>
          <w:tab w:val="left" w:pos="2010"/>
        </w:tabs>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1.1招标文件共六章，具体内容如下：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 xml:space="preserve">第一章 </w:t>
      </w:r>
      <w:r>
        <w:rPr>
          <w:rFonts w:hint="eastAsia" w:ascii="仿宋_GB2312" w:hAnsi="仿宋_GB2312" w:eastAsia="仿宋_GB2312" w:cs="仿宋_GB2312"/>
          <w:sz w:val="32"/>
          <w:szCs w:val="32"/>
        </w:rPr>
        <w:t>投标邀请书</w:t>
      </w:r>
    </w:p>
    <w:p>
      <w:pPr>
        <w:spacing w:line="560" w:lineRule="exact"/>
        <w:ind w:firstLine="688" w:firstLineChars="21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第二章 投标人须知</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第三章 招标内容及技术要求</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第四章 评标办法、步骤及标准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第五章 合同条款及格式</w:t>
      </w:r>
    </w:p>
    <w:p>
      <w:pPr>
        <w:spacing w:line="560" w:lineRule="exact"/>
        <w:ind w:firstLine="368" w:firstLineChars="115"/>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第六章 投标文件格式</w:t>
      </w:r>
    </w:p>
    <w:p>
      <w:pPr>
        <w:tabs>
          <w:tab w:val="left" w:pos="630"/>
        </w:tabs>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1.2投标人</w:t>
      </w:r>
      <w:r>
        <w:rPr>
          <w:rFonts w:hint="eastAsia" w:ascii="仿宋_GB2312" w:hAnsi="仿宋_GB2312" w:eastAsia="仿宋_GB2312" w:cs="仿宋_GB2312"/>
          <w:bCs/>
          <w:sz w:val="32"/>
          <w:szCs w:val="32"/>
        </w:rPr>
        <w:t>应认真阅读</w:t>
      </w:r>
      <w:r>
        <w:rPr>
          <w:rFonts w:hint="eastAsia" w:ascii="仿宋_GB2312" w:hAnsi="仿宋_GB2312" w:eastAsia="仿宋_GB2312" w:cs="仿宋_GB2312"/>
          <w:color w:val="000000"/>
          <w:sz w:val="32"/>
          <w:szCs w:val="32"/>
          <w:lang w:val="zh-CN"/>
        </w:rPr>
        <w:t>招标</w:t>
      </w:r>
      <w:r>
        <w:rPr>
          <w:rFonts w:hint="eastAsia" w:ascii="仿宋_GB2312" w:hAnsi="仿宋_GB2312" w:eastAsia="仿宋_GB2312" w:cs="仿宋_GB2312"/>
          <w:bCs/>
          <w:sz w:val="32"/>
          <w:szCs w:val="32"/>
        </w:rPr>
        <w:t>文件中的所有事项、格式、条款和项目描述等全部内容，</w:t>
      </w:r>
      <w:r>
        <w:rPr>
          <w:rFonts w:hint="eastAsia" w:ascii="仿宋_GB2312" w:hAnsi="仿宋_GB2312" w:eastAsia="仿宋_GB2312" w:cs="仿宋_GB2312"/>
          <w:sz w:val="32"/>
          <w:szCs w:val="32"/>
        </w:rPr>
        <w:t>按照招标文件提交全部资料。如果投标文件没有在各方面对应作出实质性响应，可能导致其投标被拒绝，其风险自行承担。</w:t>
      </w:r>
    </w:p>
    <w:p>
      <w:pPr>
        <w:pStyle w:val="5"/>
        <w:spacing w:before="0" w:after="0"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2．招标文件的澄清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2.1任何要求对招标文件进行澄清的投标人，均应以书面形式告知</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对其在投标截止日期15天前收到的对招标文件的澄清要求，均将视情况确定以适当的方式予以澄清或以书面形式予以答复。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的书面答复将以信函或传真的形式通知每个已经报名领取招标文件的投标人，但不包括问题的来源。</w:t>
      </w:r>
    </w:p>
    <w:p>
      <w:pPr>
        <w:pStyle w:val="5"/>
        <w:spacing w:before="0" w:after="0"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3．招标文件的修改</w:t>
      </w:r>
    </w:p>
    <w:p>
      <w:pPr>
        <w:spacing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3.1</w:t>
      </w:r>
      <w:r>
        <w:rPr>
          <w:rFonts w:hint="eastAsia" w:ascii="仿宋_GB2312" w:hAnsi="仿宋_GB2312" w:eastAsia="仿宋_GB2312" w:cs="仿宋_GB2312"/>
          <w:sz w:val="32"/>
          <w:szCs w:val="32"/>
        </w:rPr>
        <w:t>无论何种原因，</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均可主动或在解答投标人提出的澄清问题时对招标文件进行修改。</w:t>
      </w:r>
    </w:p>
    <w:p>
      <w:pPr>
        <w:spacing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3.2</w:t>
      </w:r>
      <w:r>
        <w:rPr>
          <w:rFonts w:hint="eastAsia" w:ascii="仿宋_GB2312" w:hAnsi="仿宋_GB2312" w:eastAsia="仿宋_GB2312" w:cs="仿宋_GB2312"/>
          <w:sz w:val="32"/>
          <w:szCs w:val="32"/>
        </w:rPr>
        <w:t>招标文件的修改将以书面形式通知所有领取招标文件的投标人，并对其具有约束力，修改书将作为招标文件的有效组成部分。</w:t>
      </w:r>
    </w:p>
    <w:p>
      <w:pPr>
        <w:spacing w:line="560" w:lineRule="exact"/>
        <w:ind w:firstLine="369" w:firstLineChars="115"/>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3.3</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根据需要可决定是否延长投标截止期。如需延长投标截止期，将以书面形式通知所有已领取招标文件的投标人，并在指定媒体发布招标公告。</w:t>
      </w:r>
    </w:p>
    <w:p>
      <w:pPr>
        <w:pStyle w:val="4"/>
        <w:spacing w:line="560" w:lineRule="exact"/>
        <w:ind w:firstLine="373" w:firstLineChars="116"/>
        <w:jc w:val="center"/>
        <w:rPr>
          <w:rFonts w:ascii="仿宋_GB2312" w:hAnsi="仿宋_GB2312" w:eastAsia="仿宋_GB2312" w:cs="仿宋_GB2312"/>
        </w:rPr>
      </w:pPr>
      <w:r>
        <w:rPr>
          <w:rFonts w:hint="eastAsia" w:ascii="仿宋_GB2312" w:hAnsi="仿宋_GB2312" w:eastAsia="仿宋_GB2312" w:cs="仿宋_GB2312"/>
        </w:rPr>
        <w:t>三、投标文件的编制</w:t>
      </w:r>
    </w:p>
    <w:p>
      <w:pPr>
        <w:pStyle w:val="5"/>
        <w:spacing w:before="0" w:after="0" w:line="560" w:lineRule="exact"/>
        <w:ind w:firstLine="373"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1．投标文件的构成</w:t>
      </w:r>
    </w:p>
    <w:p>
      <w:pPr>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1.1.招标文件规定有格式的，投标人应按招标文件提供的格式填写；未按规定格式填写的投标文件将被拒绝。</w:t>
      </w:r>
    </w:p>
    <w:p>
      <w:pPr>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1.2.投标人漏交或空留任何招标文件要求填写的表格或提交的资料，均按照本须知的规定被视为非响应性投标而予以拒绝，其风险由投标人承担。</w:t>
      </w:r>
    </w:p>
    <w:p>
      <w:pPr>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1.3.投标文件胶装成册，应编制目录和页码。</w:t>
      </w:r>
    </w:p>
    <w:p>
      <w:pPr>
        <w:pStyle w:val="5"/>
        <w:spacing w:before="0" w:after="0"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2.投标函</w:t>
      </w:r>
    </w:p>
    <w:p>
      <w:pPr>
        <w:pStyle w:val="15"/>
        <w:spacing w:line="560" w:lineRule="exact"/>
        <w:ind w:left="0" w:leftChars="0"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投标人应完整地填写招标文件中提供的报价一览表。</w:t>
      </w:r>
    </w:p>
    <w:p>
      <w:pPr>
        <w:pStyle w:val="5"/>
        <w:spacing w:before="0" w:after="0" w:line="560" w:lineRule="exact"/>
        <w:ind w:firstLine="369"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3.投标人应提供的资质材料</w:t>
      </w:r>
    </w:p>
    <w:p>
      <w:pPr>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3.1.投标人应符合本招标文件第一章 投标邀请函第六条规定的条件，所提交的证明文件须证明其中标后能履行合同要求：</w:t>
      </w:r>
    </w:p>
    <w:p>
      <w:pPr>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1）投标人简介；</w:t>
      </w:r>
    </w:p>
    <w:p>
      <w:pPr>
        <w:spacing w:line="560" w:lineRule="exact"/>
        <w:ind w:firstLine="368" w:firstLineChars="11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2）符合《中华人民共和国政府采购法》第二十二条规定的条件：</w:t>
      </w:r>
    </w:p>
    <w:p>
      <w:pPr>
        <w:spacing w:line="56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lang w:val="en-US" w:eastAsia="zh-CN"/>
        </w:rPr>
        <w:t>.1</w:t>
      </w:r>
      <w:r>
        <w:rPr>
          <w:rFonts w:hint="eastAsia" w:ascii="仿宋_GB2312" w:hAnsi="仿宋_GB2312" w:eastAsia="仿宋_GB2312" w:cs="仿宋_GB2312"/>
          <w:spacing w:val="-6"/>
          <w:kern w:val="0"/>
          <w:sz w:val="32"/>
          <w:szCs w:val="32"/>
        </w:rPr>
        <w:t>)具有独立承担民事责任的能力；</w:t>
      </w:r>
    </w:p>
    <w:p>
      <w:pPr>
        <w:spacing w:line="560" w:lineRule="exact"/>
        <w:ind w:firstLine="616" w:firstLineChars="200"/>
        <w:rPr>
          <w:rFonts w:hint="eastAsia" w:ascii="仿宋_GB2312" w:hAnsi="仿宋_GB2312" w:eastAsia="仿宋_GB2312" w:cs="仿宋_GB2312"/>
          <w:spacing w:val="-6"/>
          <w:kern w:val="0"/>
          <w:sz w:val="32"/>
          <w:szCs w:val="32"/>
          <w:lang w:val="en-US" w:eastAsia="zh-CN"/>
        </w:rPr>
      </w:pPr>
      <w:r>
        <w:rPr>
          <w:rFonts w:hint="eastAsia"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lang w:val="en-US" w:eastAsia="zh-CN"/>
        </w:rPr>
        <w:t>.2</w:t>
      </w:r>
      <w:r>
        <w:rPr>
          <w:rFonts w:hint="eastAsia" w:ascii="仿宋_GB2312" w:hAnsi="仿宋_GB2312" w:eastAsia="仿宋_GB2312" w:cs="仿宋_GB2312"/>
          <w:spacing w:val="-6"/>
          <w:kern w:val="0"/>
          <w:sz w:val="32"/>
          <w:szCs w:val="32"/>
        </w:rPr>
        <w:t>)具有良好的商业信誉和健全的财务会计制度</w:t>
      </w:r>
      <w:r>
        <w:rPr>
          <w:rFonts w:hint="eastAsia" w:ascii="仿宋_GB2312" w:hAnsi="仿宋_GB2312" w:eastAsia="仿宋_GB2312" w:cs="仿宋_GB2312"/>
          <w:spacing w:val="-6"/>
          <w:kern w:val="0"/>
          <w:sz w:val="32"/>
          <w:szCs w:val="32"/>
          <w:lang w:val="en-US" w:eastAsia="zh-CN"/>
        </w:rPr>
        <w:t>；</w:t>
      </w:r>
    </w:p>
    <w:p>
      <w:pPr>
        <w:spacing w:line="56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lang w:val="en-US" w:eastAsia="zh-CN"/>
        </w:rPr>
        <w:t>.3</w:t>
      </w:r>
      <w:r>
        <w:rPr>
          <w:rFonts w:hint="eastAsia" w:ascii="仿宋_GB2312" w:hAnsi="仿宋_GB2312" w:eastAsia="仿宋_GB2312" w:cs="仿宋_GB2312"/>
          <w:spacing w:val="-6"/>
          <w:kern w:val="0"/>
          <w:sz w:val="32"/>
          <w:szCs w:val="32"/>
        </w:rPr>
        <w:t>)具有履行合同所必须的设备和专业技术能力；</w:t>
      </w:r>
    </w:p>
    <w:p>
      <w:pPr>
        <w:spacing w:line="56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lang w:val="en-US" w:eastAsia="zh-CN"/>
        </w:rPr>
        <w:t>.4</w:t>
      </w:r>
      <w:r>
        <w:rPr>
          <w:rFonts w:hint="eastAsia" w:ascii="仿宋_GB2312" w:hAnsi="仿宋_GB2312" w:eastAsia="仿宋_GB2312" w:cs="仿宋_GB2312"/>
          <w:spacing w:val="-6"/>
          <w:kern w:val="0"/>
          <w:sz w:val="32"/>
          <w:szCs w:val="32"/>
        </w:rPr>
        <w:t>)有依法缴纳税收和社会保障金的良好记录；</w:t>
      </w:r>
    </w:p>
    <w:p>
      <w:pPr>
        <w:spacing w:line="560"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lang w:val="en-US" w:eastAsia="zh-CN"/>
        </w:rPr>
        <w:t>.5</w:t>
      </w:r>
      <w:r>
        <w:rPr>
          <w:rFonts w:hint="eastAsia" w:ascii="仿宋_GB2312" w:hAnsi="仿宋_GB2312" w:eastAsia="仿宋_GB2312" w:cs="仿宋_GB2312"/>
          <w:spacing w:val="-6"/>
          <w:kern w:val="0"/>
          <w:sz w:val="32"/>
          <w:szCs w:val="32"/>
        </w:rPr>
        <w:t>)参加政府采购活动前三年内，在经营活动中没有重大违法记录；</w:t>
      </w:r>
    </w:p>
    <w:p>
      <w:pPr>
        <w:spacing w:line="560" w:lineRule="exact"/>
        <w:ind w:firstLine="662" w:firstLineChars="215"/>
        <w:rPr>
          <w:rFonts w:ascii="仿宋_GB2312" w:hAnsi="仿宋_GB2312" w:eastAsia="仿宋_GB2312" w:cs="仿宋_GB2312"/>
          <w:sz w:val="32"/>
          <w:szCs w:val="32"/>
        </w:rPr>
      </w:pPr>
      <w:r>
        <w:rPr>
          <w:rFonts w:hint="eastAsia" w:ascii="仿宋_GB2312" w:hAnsi="仿宋_GB2312" w:eastAsia="仿宋_GB2312" w:cs="仿宋_GB2312"/>
          <w:spacing w:val="-6"/>
          <w:kern w:val="0"/>
          <w:sz w:val="32"/>
          <w:szCs w:val="32"/>
        </w:rPr>
        <w:t>2</w:t>
      </w:r>
      <w:r>
        <w:rPr>
          <w:rFonts w:hint="eastAsia" w:ascii="仿宋_GB2312" w:hAnsi="仿宋_GB2312" w:eastAsia="仿宋_GB2312" w:cs="仿宋_GB2312"/>
          <w:spacing w:val="-6"/>
          <w:kern w:val="0"/>
          <w:sz w:val="32"/>
          <w:szCs w:val="32"/>
          <w:lang w:val="en-US" w:eastAsia="zh-CN"/>
        </w:rPr>
        <w:t>.6</w:t>
      </w:r>
      <w:r>
        <w:rPr>
          <w:rFonts w:hint="eastAsia" w:ascii="仿宋_GB2312" w:hAnsi="仿宋_GB2312" w:eastAsia="仿宋_GB2312" w:cs="仿宋_GB2312"/>
          <w:spacing w:val="-6"/>
          <w:kern w:val="0"/>
          <w:sz w:val="32"/>
          <w:szCs w:val="32"/>
        </w:rPr>
        <w:t>)法律、行政法规规定的其他条件。</w:t>
      </w:r>
    </w:p>
    <w:p>
      <w:pPr>
        <w:spacing w:line="560" w:lineRule="exact"/>
        <w:ind w:firstLine="688" w:firstLineChars="2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在中华人民共和国境内注册取得营业执照，具有独立法人资格，提供营业执照、组织机构代码证、税务登记证（或三证合一营业执照）</w:t>
      </w:r>
      <w:r>
        <w:rPr>
          <w:rFonts w:hint="eastAsia" w:ascii="仿宋_GB2312" w:hAnsi="仿宋_GB2312" w:eastAsia="仿宋_GB2312" w:cs="仿宋_GB2312"/>
          <w:sz w:val="32"/>
          <w:szCs w:val="32"/>
        </w:rPr>
        <w:t>；</w:t>
      </w:r>
    </w:p>
    <w:p>
      <w:pPr>
        <w:spacing w:line="560" w:lineRule="exact"/>
        <w:ind w:firstLine="640" w:firstLineChars="200"/>
        <w:jc w:val="left"/>
        <w:rPr>
          <w:rFonts w:eastAsia="仿宋_GB231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）法人代表授权委托书（法定代表人则是法定代表身份证明）、授权委托人身份证（</w:t>
      </w:r>
      <w:r>
        <w:rPr>
          <w:rFonts w:hint="eastAsia" w:ascii="仿宋_GB2312" w:hAnsi="仿宋_GB2312" w:eastAsia="仿宋_GB2312" w:cs="仿宋_GB2312"/>
          <w:sz w:val="32"/>
          <w:szCs w:val="32"/>
          <w:u w:val="single"/>
        </w:rPr>
        <w:t>法人代表参加投标的勿需此项，投标代表身份证随身携带，核后归还</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shd w:val="clear" w:color="auto" w:fill="FFFFFF"/>
        </w:rPr>
        <w:t>供应商参加政府采购活动前三年内未被列入“信用中国”网站（www.creditchina.gov.cn）失信被执行人、重大税收违法案件当事人和“中国政府采购”网站（www.ccgp.gov.cn）政府采购严重违法失信行为记录名单</w:t>
      </w:r>
      <w:r>
        <w:rPr>
          <w:rFonts w:hint="eastAsia" w:ascii="仿宋_GB2312" w:hAnsi="仿宋_GB2312" w:eastAsia="仿宋_GB2312" w:cs="仿宋_GB2312"/>
          <w:kern w:val="0"/>
          <w:sz w:val="32"/>
          <w:szCs w:val="32"/>
          <w:shd w:val="clear" w:color="auto" w:fill="FFFFFF"/>
          <w:lang w:eastAsia="zh-CN"/>
        </w:rPr>
        <w:t>（提供报名至投标期间网站截图）；</w:t>
      </w:r>
    </w:p>
    <w:p>
      <w:pPr>
        <w:spacing w:line="560" w:lineRule="exact"/>
        <w:ind w:firstLine="371" w:firstLineChars="116"/>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xml:space="preserve"> </w:t>
      </w:r>
      <w:r>
        <w:rPr>
          <w:rFonts w:hint="eastAsia" w:ascii="仿宋_GB2312" w:hAnsi="仿宋_GB2312" w:eastAsia="仿宋_GB2312" w:cs="仿宋_GB2312"/>
          <w:kern w:val="0"/>
          <w:sz w:val="32"/>
          <w:szCs w:val="32"/>
          <w:shd w:val="clear" w:color="auto" w:fill="FFFFFF"/>
          <w:lang w:val="en-US" w:eastAsia="zh-CN"/>
        </w:rPr>
        <w:t>6</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sz w:val="32"/>
          <w:szCs w:val="32"/>
        </w:rPr>
        <w:t>投标人</w:t>
      </w:r>
      <w:r>
        <w:rPr>
          <w:rFonts w:hint="eastAsia" w:ascii="仿宋_GB2312" w:hAnsi="仿宋_GB2312" w:eastAsia="仿宋_GB2312" w:cs="仿宋_GB2312"/>
          <w:kern w:val="0"/>
          <w:sz w:val="32"/>
          <w:szCs w:val="32"/>
          <w:shd w:val="clear" w:color="auto" w:fill="FFFFFF"/>
        </w:rPr>
        <w:t>认为需要提供的其他内容资料。</w:t>
      </w:r>
    </w:p>
    <w:p>
      <w:pPr>
        <w:pStyle w:val="5"/>
        <w:spacing w:before="0" w:after="0" w:line="560" w:lineRule="exact"/>
        <w:ind w:firstLine="373"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4.投标有效期</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4.1开标之日起 90个日历天。</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4.2特殊情况下，在原投标有效期截止之前，</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可以书面形式要求投标人同意延长投标有效期。</w:t>
      </w:r>
    </w:p>
    <w:p>
      <w:pPr>
        <w:pStyle w:val="5"/>
        <w:spacing w:before="0" w:after="0" w:line="560" w:lineRule="exact"/>
        <w:ind w:firstLine="373"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5.投标文件的式样和签署</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5.1.投标人应准备投标文件正本1套和副本2套（共3套），每套投标文件必须标明“正本”或“副本”。若正本和副本不符，以正本为准。</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5.2.投标文件的正本需打印或用不褪色墨水清楚书写，并由投标人或经正式授权并对投标人有约束力的代表在投标文件正本上签字并加盖公章。投标文件的副本可采用正本的复印件，但封面须加盖公章。</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5.3.任何必要的行间插字、涂改和增删，必须由投标人加盖公章。</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5.4</w:t>
      </w:r>
      <w:r>
        <w:rPr>
          <w:rFonts w:hint="eastAsia" w:ascii="仿宋_GB2312" w:hAnsi="仿宋_GB2312" w:eastAsia="仿宋_GB2312" w:cs="仿宋_GB2312"/>
          <w:bCs/>
          <w:sz w:val="32"/>
          <w:szCs w:val="32"/>
        </w:rPr>
        <w:t>投标文件的正本与副本应装订成册，并编制目录，投标文件不得使用活页装订，必须编排页码，否则视为无效标。</w:t>
      </w:r>
    </w:p>
    <w:p>
      <w:pPr>
        <w:pStyle w:val="4"/>
        <w:numPr>
          <w:ilvl w:val="0"/>
          <w:numId w:val="6"/>
        </w:numPr>
        <w:spacing w:line="560" w:lineRule="exact"/>
        <w:ind w:firstLine="373" w:firstLineChars="116"/>
        <w:jc w:val="center"/>
        <w:rPr>
          <w:rFonts w:ascii="仿宋_GB2312" w:hAnsi="仿宋_GB2312" w:eastAsia="仿宋_GB2312" w:cs="仿宋_GB2312"/>
        </w:rPr>
      </w:pPr>
      <w:r>
        <w:rPr>
          <w:rFonts w:hint="eastAsia" w:ascii="仿宋_GB2312" w:hAnsi="仿宋_GB2312" w:eastAsia="仿宋_GB2312" w:cs="仿宋_GB2312"/>
        </w:rPr>
        <w:t>投标文件的递交</w:t>
      </w:r>
    </w:p>
    <w:p>
      <w:pPr>
        <w:pStyle w:val="5"/>
        <w:spacing w:before="0"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1.投标文件的密封和标记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1.1投标人应将投标文件的正本和副本密封，标明项目编号、项目名称、投标人名称、地址，</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注明“于20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时前不准启封”字样并加盖公章。</w:t>
      </w:r>
    </w:p>
    <w:p>
      <w:pPr>
        <w:spacing w:line="56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1.2投标文件应由投标人安排专人按照招标文件规定的时间送至规定的地点和人员。传真等形式的投标概不接受。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1.3递交投标文件的地点和截止时间为投标邀请函中规定的地点和时间。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将拒绝在投标截止时间后到达的投标文件。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1.5为方便开标唱标，投标人提交投标文件时应将投标函单独密封及法人授权委托书提交一份，封面上注明内容并加盖公章。</w:t>
      </w:r>
    </w:p>
    <w:p>
      <w:pPr>
        <w:pStyle w:val="5"/>
        <w:spacing w:before="0"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2.投标截止期</w:t>
      </w:r>
    </w:p>
    <w:p>
      <w:pPr>
        <w:tabs>
          <w:tab w:val="left" w:pos="189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时之前在荆州市荆州区公共资源交易中心(政府采购中心）交易一室递交投标文件。</w:t>
      </w:r>
    </w:p>
    <w:p>
      <w:pPr>
        <w:spacing w:line="560" w:lineRule="exact"/>
        <w:ind w:firstLine="373" w:firstLineChars="11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五、开标与评标</w:t>
      </w:r>
    </w:p>
    <w:p>
      <w:pPr>
        <w:pStyle w:val="5"/>
        <w:spacing w:before="0"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1.开标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在“招标公告”中规定的日期、时间和地点组织公开开标。开标时投标的法人或委托人必须参加，并签名以证明其出席。法人或委托人不参加开标会的作为自动放弃，并作无效投标处理。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1.2开标时，投标人应检查投标文件的密封情况，在确认无误后开启投标文件。主持人当众宣读投标人名称、投标价格、以及</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认为合适的其他内容。在开标时未提供投标函、法人授权委托书或者内容不清晰的投标将被拒绝，其投标材料将当场退还给投标人。</w:t>
      </w:r>
    </w:p>
    <w:p>
      <w:pPr>
        <w:pStyle w:val="5"/>
        <w:spacing w:before="0"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2.评标委员会</w:t>
      </w:r>
    </w:p>
    <w:p>
      <w:pPr>
        <w:pStyle w:val="1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评标由评审委员会负责。本项目评审委员会成员人数为5人。其中技术、经济等方面的专家不少于成员总数的三分之二，甲方评委不超过成员总数的三分之一，并推荐一名评审组长，主持评审工作。</w:t>
      </w:r>
    </w:p>
    <w:p>
      <w:pPr>
        <w:pStyle w:val="1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评委身份定标前保密，评委名单在中标公告中予以公告。</w:t>
      </w:r>
    </w:p>
    <w:p>
      <w:pPr>
        <w:pStyle w:val="5"/>
        <w:spacing w:before="0" w:after="0" w:line="560" w:lineRule="exact"/>
        <w:ind w:firstLine="373"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3.投标文件的澄清</w:t>
      </w:r>
    </w:p>
    <w:p>
      <w:pPr>
        <w:pStyle w:val="19"/>
        <w:spacing w:line="560" w:lineRule="exact"/>
        <w:ind w:left="0" w:leftChars="0"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3.1在评标期间，为有助于对投标文件的审查、评价和比较，将可能要求投标人对其投标文件进行澄清，但不得寻求、提供或允许对投标价格等实质性内容做任何更改。有关澄清的要求和答复均应以书面形式提交。</w:t>
      </w:r>
    </w:p>
    <w:p>
      <w:pPr>
        <w:pStyle w:val="5"/>
        <w:spacing w:before="0" w:after="0" w:line="560" w:lineRule="exact"/>
        <w:ind w:firstLine="373"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4.投标文件的审查</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4.1评审委员会将审查投标文件是否完整、总体编排是否有序、文件签署是否合格、有无计算上的错误等。</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4.2对于投标文件中不构成实质性偏差的不规范、不一致表述，可以被接受，但这</w:t>
      </w:r>
      <w:bookmarkStart w:id="16" w:name="_GoBack"/>
      <w:bookmarkEnd w:id="16"/>
      <w:r>
        <w:rPr>
          <w:rFonts w:hint="eastAsia" w:ascii="仿宋_GB2312" w:hAnsi="仿宋_GB2312" w:eastAsia="仿宋_GB2312" w:cs="仿宋_GB2312"/>
          <w:sz w:val="32"/>
          <w:szCs w:val="32"/>
        </w:rPr>
        <w:t>种接受不能损害或影响任何投标人的相对排序。</w:t>
      </w:r>
    </w:p>
    <w:p>
      <w:pPr>
        <w:pStyle w:val="11"/>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4.3在详细评标之前，将审查每份投标文件是否实质上响应了招标文件的要求。实质上响应的投标应该是与招标文件要求的全部条款、条件和规格相符，没有重大偏离或保留的投标。</w:t>
      </w:r>
    </w:p>
    <w:p>
      <w:pPr>
        <w:spacing w:line="560" w:lineRule="exact"/>
        <w:ind w:firstLine="371" w:firstLineChars="116"/>
        <w:rPr>
          <w:rFonts w:ascii="仿宋_GB2312" w:hAnsi="仿宋_GB2312" w:eastAsia="仿宋_GB2312" w:cs="仿宋_GB2312"/>
          <w:sz w:val="32"/>
          <w:szCs w:val="32"/>
        </w:rPr>
      </w:pPr>
      <w:r>
        <w:rPr>
          <w:rFonts w:hint="eastAsia" w:ascii="仿宋_GB2312" w:hAnsi="仿宋_GB2312" w:eastAsia="仿宋_GB2312" w:cs="仿宋_GB2312"/>
          <w:sz w:val="32"/>
          <w:szCs w:val="32"/>
        </w:rPr>
        <w:t>4.4没有实质上响应招标文件要求的投标将被拒绝。投标人不得通过修正或撤消不合要求的偏离使其投标成为实质上响应的投标。如发现下列情况之一的，其投标将被拒绝：</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1）投标文件没有投标人授权代表签字和加盖公章；</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2）投标有效期不足；</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3）投标人的资质不符合本招标文件第一章 投标邀请函 第六条合格投标人的要求；</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4）明显不符合招标文件规定的技术规范、技术标准的要求；</w:t>
      </w:r>
    </w:p>
    <w:p>
      <w:pPr>
        <w:tabs>
          <w:tab w:val="left" w:pos="1890"/>
        </w:tabs>
        <w:autoSpaceDE w:val="0"/>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5）投标文件载明的检验和验收标准及方法等不符合招标文件的要求；</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6）开标时未提供投标函、法人授权委托书</w:t>
      </w:r>
      <w:r>
        <w:rPr>
          <w:rFonts w:hint="eastAsia" w:ascii="仿宋_GB2312" w:hAnsi="仿宋_GB2312" w:eastAsia="仿宋_GB2312" w:cs="仿宋_GB2312"/>
          <w:sz w:val="32"/>
          <w:szCs w:val="32"/>
          <w:lang w:eastAsia="zh-CN"/>
        </w:rPr>
        <w:t>、身份证原件核对</w:t>
      </w:r>
      <w:r>
        <w:rPr>
          <w:rFonts w:hint="eastAsia" w:ascii="仿宋_GB2312" w:hAnsi="仿宋_GB2312" w:eastAsia="仿宋_GB2312" w:cs="仿宋_GB2312"/>
          <w:sz w:val="32"/>
          <w:szCs w:val="32"/>
        </w:rPr>
        <w:t>或者内容不清晰的投标将被拒绝，其投标材料将当场退还给投标人；</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7）不符合招标文件中规定的其他实质性要求；</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8）本招标文件其它地方载明可能作无效投标处理的；</w:t>
      </w:r>
    </w:p>
    <w:p>
      <w:pPr>
        <w:tabs>
          <w:tab w:val="left" w:pos="1890"/>
        </w:tabs>
        <w:spacing w:line="560" w:lineRule="exact"/>
        <w:ind w:firstLine="697" w:firstLineChars="218"/>
        <w:rPr>
          <w:rFonts w:ascii="仿宋_GB2312" w:hAnsi="仿宋_GB2312" w:eastAsia="仿宋_GB2312" w:cs="仿宋_GB2312"/>
          <w:sz w:val="32"/>
          <w:szCs w:val="32"/>
        </w:rPr>
      </w:pPr>
      <w:r>
        <w:rPr>
          <w:rFonts w:hint="eastAsia" w:ascii="仿宋_GB2312" w:hAnsi="仿宋_GB2312" w:eastAsia="仿宋_GB2312" w:cs="仿宋_GB2312"/>
          <w:sz w:val="32"/>
          <w:szCs w:val="32"/>
        </w:rPr>
        <w:t>9）政府采购法规规定应该作无效投标处理的；</w:t>
      </w:r>
    </w:p>
    <w:p>
      <w:pPr>
        <w:tabs>
          <w:tab w:val="left" w:pos="1890"/>
        </w:tabs>
        <w:spacing w:line="560" w:lineRule="exact"/>
        <w:ind w:firstLine="688" w:firstLineChars="215"/>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10）投标人未提供</w:t>
      </w:r>
      <w:r>
        <w:rPr>
          <w:rFonts w:hint="eastAsia" w:ascii="仿宋_GB2312" w:hAnsi="仿宋_GB2312" w:eastAsia="仿宋_GB2312" w:cs="仿宋_GB2312"/>
          <w:kern w:val="0"/>
          <w:sz w:val="32"/>
          <w:szCs w:val="32"/>
        </w:rPr>
        <w:t>参加本次政府采购活动前3年内没有重大违法记录的书面声明。</w:t>
      </w:r>
    </w:p>
    <w:p>
      <w:pPr>
        <w:pStyle w:val="5"/>
        <w:tabs>
          <w:tab w:val="left" w:pos="720"/>
          <w:tab w:val="left" w:pos="1080"/>
        </w:tabs>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5、评审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本项目采用</w:t>
      </w:r>
      <w:r>
        <w:rPr>
          <w:rFonts w:hint="eastAsia" w:ascii="仿宋_GB2312" w:hAnsi="仿宋_GB2312" w:eastAsia="仿宋_GB2312" w:cs="仿宋_GB2312"/>
          <w:sz w:val="32"/>
          <w:szCs w:val="32"/>
          <w:lang w:eastAsia="zh-CN"/>
        </w:rPr>
        <w:t>综合评分法</w:t>
      </w:r>
      <w:r>
        <w:rPr>
          <w:rFonts w:hint="eastAsia" w:ascii="仿宋_GB2312" w:hAnsi="仿宋_GB2312" w:eastAsia="仿宋_GB2312" w:cs="仿宋_GB2312"/>
          <w:sz w:val="32"/>
          <w:szCs w:val="32"/>
        </w:rPr>
        <w:t>。详见第四章评标办法、步骤及标准。</w:t>
      </w:r>
    </w:p>
    <w:p>
      <w:pPr>
        <w:pStyle w:val="5"/>
        <w:tabs>
          <w:tab w:val="left" w:pos="720"/>
          <w:tab w:val="left" w:pos="1080"/>
        </w:tabs>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6、定标</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6.1评审委员会确定综合分值最高者为第一中标候选投标人。如中标候选投标人存在弄虚作假行为，将取消其中标资格，采购人有权选择下一顺位的候选人中标或重新组织招标。</w:t>
      </w:r>
    </w:p>
    <w:p>
      <w:pPr>
        <w:spacing w:line="540" w:lineRule="exact"/>
        <w:ind w:firstLine="640" w:firstLineChars="200"/>
        <w:rPr>
          <w:rFonts w:ascii="仿宋_GB2312" w:hAnsi="仿宋_GB2312" w:eastAsia="仿宋_GB2312" w:cs="仿宋_GB2312"/>
        </w:rPr>
      </w:pPr>
      <w:r>
        <w:rPr>
          <w:rFonts w:hint="eastAsia" w:ascii="仿宋_GB2312" w:hAnsi="仿宋_GB2312" w:eastAsia="仿宋_GB2312" w:cs="仿宋_GB2312"/>
          <w:sz w:val="32"/>
          <w:szCs w:val="32"/>
        </w:rPr>
        <w:t>6.2确定中标投标人。评审结束后，</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将中标候选投标人推荐给</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依法确定中标人。</w:t>
      </w:r>
    </w:p>
    <w:p>
      <w:pPr>
        <w:pStyle w:val="4"/>
        <w:spacing w:line="540" w:lineRule="exact"/>
        <w:ind w:firstLine="373" w:firstLineChars="116"/>
        <w:jc w:val="center"/>
        <w:rPr>
          <w:rFonts w:ascii="仿宋_GB2312" w:hAnsi="仿宋_GB2312" w:eastAsia="仿宋_GB2312" w:cs="仿宋_GB2312"/>
        </w:rPr>
      </w:pPr>
      <w:r>
        <w:rPr>
          <w:rFonts w:hint="eastAsia" w:ascii="仿宋_GB2312" w:hAnsi="仿宋_GB2312" w:eastAsia="仿宋_GB2312" w:cs="仿宋_GB2312"/>
        </w:rPr>
        <w:t>六、签订合同</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1.1从中标公告之日起30日内，中标人持《中标通知书》与</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签订政府采购合同。</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1.2中标人若不能按规定的时间与</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签订合同，视作投标人自动放弃中标资格。</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将按中标候选人排名顺序依次确定新的中标人。</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1.3中标人自动放弃中标资格或者因故不能签订合同，将记入诚信档案。由</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是否选择第二中标候选人与</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签订合同，也可以重新开展政府采购活动，中标人放弃中标资格涉嫌违规的将依法承担一切责任。</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1.4招标文件、中标人的投标文件及其有关的澄清文件等均为签订合同的依据。</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1.5根据《中华人民共和国政府采购法》实施条例规定：采购人应当自政府采购合同签订之日起2个工作日内，将政府采购合同在</w:t>
      </w:r>
      <w:r>
        <w:rPr>
          <w:rFonts w:hint="eastAsia" w:ascii="仿宋_GB2312" w:hAnsi="仿宋_GB2312" w:eastAsia="仿宋_GB2312" w:cs="仿宋_GB2312"/>
          <w:sz w:val="32"/>
          <w:szCs w:val="32"/>
          <w:lang w:eastAsia="zh-CN"/>
        </w:rPr>
        <w:t>湖北省政府采购网</w:t>
      </w:r>
      <w:r>
        <w:rPr>
          <w:rFonts w:hint="eastAsia" w:ascii="仿宋_GB2312" w:hAnsi="仿宋_GB2312" w:eastAsia="仿宋_GB2312" w:cs="仿宋_GB2312"/>
          <w:sz w:val="32"/>
          <w:szCs w:val="32"/>
        </w:rPr>
        <w:t>、“古城·荆州”网公布。</w:t>
      </w:r>
    </w:p>
    <w:p>
      <w:pPr>
        <w:spacing w:line="540" w:lineRule="exact"/>
        <w:ind w:firstLine="480"/>
        <w:rPr>
          <w:rFonts w:ascii="黑体" w:hAnsi="黑体" w:eastAsia="黑体" w:cs="黑体"/>
          <w:bCs/>
          <w:kern w:val="0"/>
          <w:sz w:val="32"/>
          <w:szCs w:val="32"/>
        </w:rPr>
      </w:pP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在签订合同前中标人是否在“信用中国”网站(www.creditchina.gov.cn)中未被列入失信被执行人、重大税收违法案件当事人名单由</w:t>
      </w:r>
      <w:r>
        <w:rPr>
          <w:rFonts w:hint="eastAsia" w:ascii="仿宋_GB2312" w:hAnsi="仿宋_GB2312" w:eastAsia="仿宋_GB2312" w:cs="仿宋_GB2312"/>
          <w:sz w:val="32"/>
          <w:szCs w:val="32"/>
          <w:lang w:eastAsia="zh-CN"/>
        </w:rPr>
        <w:t>采购人</w:t>
      </w:r>
      <w:r>
        <w:rPr>
          <w:rFonts w:hint="eastAsia" w:ascii="仿宋_GB2312" w:hAnsi="仿宋_GB2312" w:eastAsia="仿宋_GB2312" w:cs="仿宋_GB2312"/>
          <w:sz w:val="32"/>
          <w:szCs w:val="32"/>
        </w:rPr>
        <w:t>确认</w:t>
      </w:r>
      <w:bookmarkEnd w:id="1"/>
      <w:r>
        <w:rPr>
          <w:rFonts w:hint="eastAsia" w:ascii="仿宋_GB2312" w:hAnsi="仿宋_GB2312" w:eastAsia="仿宋_GB2312" w:cs="仿宋_GB2312"/>
          <w:sz w:val="32"/>
          <w:szCs w:val="32"/>
        </w:rPr>
        <w:t>。</w:t>
      </w:r>
    </w:p>
    <w:p>
      <w:pPr>
        <w:pStyle w:val="29"/>
        <w:ind w:left="420" w:leftChars="200" w:firstLine="960" w:firstLineChars="300"/>
        <w:jc w:val="center"/>
        <w:rPr>
          <w:rFonts w:hint="default" w:ascii="黑体" w:hAnsi="黑体" w:eastAsia="黑体" w:cs="黑体"/>
          <w:bCs/>
          <w:sz w:val="32"/>
          <w:szCs w:val="32"/>
        </w:rPr>
      </w:pPr>
    </w:p>
    <w:p>
      <w:pPr>
        <w:pStyle w:val="29"/>
        <w:ind w:left="420" w:leftChars="200" w:firstLine="960" w:firstLineChars="300"/>
        <w:jc w:val="center"/>
        <w:rPr>
          <w:rFonts w:hint="default" w:ascii="黑体" w:hAnsi="黑体" w:eastAsia="黑体" w:cs="黑体"/>
          <w:bCs/>
          <w:sz w:val="32"/>
          <w:szCs w:val="32"/>
        </w:rPr>
      </w:pPr>
    </w:p>
    <w:p>
      <w:pPr>
        <w:pStyle w:val="29"/>
        <w:ind w:left="420" w:leftChars="200" w:firstLine="960" w:firstLineChars="300"/>
        <w:jc w:val="center"/>
        <w:rPr>
          <w:rFonts w:hint="default" w:ascii="黑体" w:hAnsi="黑体" w:eastAsia="黑体" w:cs="黑体"/>
          <w:bCs/>
          <w:sz w:val="32"/>
          <w:szCs w:val="32"/>
        </w:rPr>
      </w:pPr>
    </w:p>
    <w:p>
      <w:pPr>
        <w:pStyle w:val="29"/>
        <w:ind w:left="420" w:leftChars="200" w:firstLine="960" w:firstLineChars="300"/>
        <w:jc w:val="center"/>
        <w:rPr>
          <w:rFonts w:hint="default" w:ascii="黑体" w:hAnsi="黑体" w:eastAsia="黑体" w:cs="黑体"/>
          <w:bCs/>
          <w:sz w:val="32"/>
          <w:szCs w:val="32"/>
        </w:rPr>
      </w:pPr>
    </w:p>
    <w:p>
      <w:pPr>
        <w:pStyle w:val="29"/>
        <w:ind w:left="420" w:leftChars="200" w:firstLine="960" w:firstLineChars="300"/>
        <w:jc w:val="center"/>
        <w:rPr>
          <w:rFonts w:hint="default" w:ascii="黑体" w:hAnsi="黑体" w:eastAsia="黑体" w:cs="黑体"/>
          <w:bCs/>
          <w:sz w:val="32"/>
          <w:szCs w:val="32"/>
        </w:rPr>
      </w:pPr>
    </w:p>
    <w:p>
      <w:pPr>
        <w:pStyle w:val="29"/>
        <w:jc w:val="both"/>
        <w:rPr>
          <w:rFonts w:hint="default" w:ascii="黑体" w:hAnsi="黑体" w:eastAsia="黑体" w:cs="黑体"/>
          <w:bCs/>
          <w:sz w:val="32"/>
          <w:szCs w:val="32"/>
        </w:rPr>
      </w:pPr>
    </w:p>
    <w:p>
      <w:pPr>
        <w:rPr>
          <w:rFonts w:ascii="黑体" w:hAnsi="黑体" w:eastAsia="黑体" w:cs="黑体"/>
          <w:bCs/>
          <w:color w:val="auto"/>
          <w:sz w:val="32"/>
          <w:szCs w:val="32"/>
        </w:rPr>
      </w:pPr>
      <w:r>
        <w:rPr>
          <w:rFonts w:ascii="黑体" w:hAnsi="黑体" w:eastAsia="黑体" w:cs="黑体"/>
          <w:bCs/>
          <w:color w:val="auto"/>
          <w:sz w:val="32"/>
          <w:szCs w:val="32"/>
        </w:rPr>
        <w:br w:type="page"/>
      </w:r>
    </w:p>
    <w:p>
      <w:pPr>
        <w:pStyle w:val="29"/>
        <w:ind w:left="420" w:leftChars="200" w:firstLine="960" w:firstLineChars="300"/>
        <w:jc w:val="center"/>
        <w:rPr>
          <w:rFonts w:hint="default" w:ascii="黑体" w:hAnsi="黑体" w:eastAsia="黑体" w:cs="黑体"/>
          <w:bCs/>
          <w:color w:val="auto"/>
          <w:sz w:val="32"/>
          <w:szCs w:val="32"/>
          <w:shd w:val="clear" w:color="auto" w:fill="auto"/>
        </w:rPr>
      </w:pPr>
      <w:r>
        <w:rPr>
          <w:rFonts w:ascii="黑体" w:hAnsi="黑体" w:eastAsia="黑体" w:cs="黑体"/>
          <w:bCs/>
          <w:color w:val="auto"/>
          <w:sz w:val="32"/>
          <w:szCs w:val="32"/>
          <w:shd w:val="clear" w:color="auto" w:fill="auto"/>
        </w:rPr>
        <w:t xml:space="preserve">第三章 </w:t>
      </w:r>
      <w:r>
        <w:rPr>
          <w:rFonts w:hint="eastAsia" w:ascii="黑体" w:hAnsi="黑体" w:eastAsia="黑体" w:cs="黑体"/>
          <w:bCs/>
          <w:color w:val="auto"/>
          <w:sz w:val="32"/>
          <w:szCs w:val="32"/>
          <w:shd w:val="clear" w:color="auto" w:fill="auto"/>
          <w:lang w:eastAsia="zh-CN"/>
        </w:rPr>
        <w:t>招标内容及技术要求</w:t>
      </w:r>
    </w:p>
    <w:p>
      <w:pPr>
        <w:pStyle w:val="29"/>
        <w:rPr>
          <w:rFonts w:hint="default"/>
          <w:color w:val="auto"/>
        </w:rPr>
      </w:pPr>
    </w:p>
    <w:p>
      <w:pPr>
        <w:pStyle w:val="29"/>
        <w:rPr>
          <w:rFonts w:hint="eastAsia"/>
          <w:color w:val="auto"/>
          <w:lang w:eastAsia="zh-CN"/>
        </w:rPr>
      </w:pPr>
    </w:p>
    <w:tbl>
      <w:tblPr>
        <w:tblStyle w:val="23"/>
        <w:tblW w:w="9259" w:type="dxa"/>
        <w:jc w:val="center"/>
        <w:tblCellSpacing w:w="7"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15" w:type="dxa"/>
          <w:left w:w="15" w:type="dxa"/>
          <w:bottom w:w="15" w:type="dxa"/>
          <w:right w:w="15" w:type="dxa"/>
        </w:tblCellMar>
      </w:tblPr>
      <w:tblGrid>
        <w:gridCol w:w="858"/>
        <w:gridCol w:w="1342"/>
        <w:gridCol w:w="3825"/>
        <w:gridCol w:w="323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907" w:hRule="atLeast"/>
          <w:tblCellSpacing w:w="7" w:type="dxa"/>
          <w:jc w:val="center"/>
        </w:trPr>
        <w:tc>
          <w:tcPr>
            <w:tcW w:w="837" w:type="dxa"/>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center"/>
              <w:textAlignment w:val="auto"/>
              <w:outlineLvl w:val="9"/>
              <w:rPr>
                <w:rFonts w:hint="eastAsia" w:ascii="宋体" w:hAnsi="宋体" w:eastAsia="宋体" w:cs="宋体"/>
                <w:b/>
                <w:bCs/>
                <w:color w:val="000000"/>
              </w:rPr>
            </w:pPr>
            <w:r>
              <w:rPr>
                <w:rFonts w:hint="eastAsia" w:ascii="宋体" w:hAnsi="宋体" w:eastAsia="宋体" w:cs="宋体"/>
                <w:b/>
                <w:bCs/>
                <w:color w:val="000000"/>
              </w:rPr>
              <w:t>项目</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center"/>
              <w:textAlignment w:val="auto"/>
              <w:outlineLvl w:val="9"/>
              <w:rPr>
                <w:rFonts w:hint="eastAsia" w:ascii="宋体" w:hAnsi="宋体" w:eastAsia="宋体" w:cs="宋体"/>
                <w:b/>
                <w:bCs/>
              </w:rPr>
            </w:pPr>
            <w:r>
              <w:rPr>
                <w:rFonts w:hint="eastAsia" w:ascii="宋体" w:hAnsi="宋体" w:eastAsia="宋体" w:cs="宋体"/>
                <w:b/>
                <w:bCs/>
                <w:color w:val="000000"/>
              </w:rPr>
              <w:t>大类</w:t>
            </w:r>
          </w:p>
        </w:tc>
        <w:tc>
          <w:tcPr>
            <w:tcW w:w="1328" w:type="dxa"/>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center"/>
              <w:textAlignment w:val="auto"/>
              <w:outlineLvl w:val="9"/>
              <w:rPr>
                <w:rFonts w:hint="eastAsia" w:ascii="宋体" w:hAnsi="宋体" w:eastAsia="宋体" w:cs="宋体"/>
                <w:b/>
                <w:bCs/>
              </w:rPr>
            </w:pPr>
            <w:r>
              <w:rPr>
                <w:rFonts w:hint="eastAsia" w:ascii="宋体" w:hAnsi="宋体" w:eastAsia="宋体" w:cs="宋体"/>
                <w:b/>
                <w:bCs/>
                <w:color w:val="000000"/>
              </w:rPr>
              <w:t>项目分类</w:t>
            </w:r>
          </w:p>
        </w:tc>
        <w:tc>
          <w:tcPr>
            <w:tcW w:w="3811" w:type="dxa"/>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center"/>
              <w:textAlignment w:val="auto"/>
              <w:outlineLvl w:val="9"/>
              <w:rPr>
                <w:rFonts w:hint="eastAsia" w:ascii="宋体" w:hAnsi="宋体" w:eastAsia="宋体" w:cs="宋体"/>
                <w:b/>
                <w:bCs/>
              </w:rPr>
            </w:pPr>
            <w:r>
              <w:rPr>
                <w:rFonts w:hint="eastAsia" w:ascii="宋体" w:hAnsi="宋体" w:eastAsia="宋体" w:cs="宋体"/>
                <w:b/>
                <w:bCs/>
                <w:color w:val="000000"/>
              </w:rPr>
              <w:t>项目建设内容</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center"/>
              <w:textAlignment w:val="auto"/>
              <w:outlineLvl w:val="9"/>
              <w:rPr>
                <w:rFonts w:hint="eastAsia" w:ascii="宋体" w:hAnsi="宋体" w:eastAsia="宋体" w:cs="宋体"/>
                <w:b/>
                <w:bCs/>
                <w:color w:val="000000"/>
              </w:rPr>
            </w:pPr>
            <w:r>
              <w:rPr>
                <w:rFonts w:hint="eastAsia" w:ascii="宋体" w:hAnsi="宋体" w:eastAsia="宋体" w:cs="宋体"/>
                <w:b/>
                <w:bCs/>
                <w:color w:val="000000"/>
              </w:rPr>
              <w:t>考评标准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817" w:hRule="atLeast"/>
          <w:tblCellSpacing w:w="7" w:type="dxa"/>
          <w:jc w:val="center"/>
        </w:trPr>
        <w:tc>
          <w:tcPr>
            <w:tcW w:w="837" w:type="dxa"/>
            <w:vMerge w:val="restart"/>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（一）</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区级电子商务公共服务中心</w:t>
            </w: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1、区级电商公共服务中心站点建设</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电商公共服务中心建设面积3000-5000平方米左右，中心运营团队和功能划分齐全、办公设备配套完善、规章制度健全。提供咨询服务、人才培训、线上平台、创业孵化、农产品上行、农产品溯源系统、宣传服务、业务支持等服务。</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1、建设面积3000-5000平方米；</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2、办公场所、人员、设备等齐全、制度完善；</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3、线上平台电子商务培训不少于80项在线课程；</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4、全年组织各类创业活动不少于10场，年孵化各类线上店铺不少于30个；</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21"/>
                <w:szCs w:val="21"/>
              </w:rPr>
            </w:pPr>
            <w:r>
              <w:rPr>
                <w:rFonts w:hint="eastAsia" w:ascii="宋体" w:hAnsi="宋体" w:eastAsia="宋体" w:cs="宋体"/>
                <w:color w:val="000000"/>
                <w:sz w:val="21"/>
                <w:szCs w:val="21"/>
              </w:rPr>
              <w:t>5、每年确保</w:t>
            </w:r>
            <w:r>
              <w:rPr>
                <w:rFonts w:hint="eastAsia" w:ascii="宋体" w:hAnsi="宋体" w:eastAsia="宋体" w:cs="宋体"/>
                <w:color w:val="000000"/>
                <w:sz w:val="21"/>
                <w:szCs w:val="21"/>
                <w:lang w:val="en-US" w:eastAsia="zh-CN"/>
              </w:rPr>
              <w:t>10</w:t>
            </w:r>
            <w:r>
              <w:rPr>
                <w:rFonts w:hint="eastAsia" w:ascii="宋体" w:hAnsi="宋体" w:eastAsia="宋体" w:cs="宋体"/>
                <w:color w:val="000000"/>
                <w:sz w:val="21"/>
                <w:szCs w:val="21"/>
              </w:rPr>
              <w:t>款以上本地产品实现网络销售额达到</w:t>
            </w:r>
            <w:r>
              <w:rPr>
                <w:rFonts w:hint="eastAsia" w:ascii="宋体" w:hAnsi="宋体" w:eastAsia="宋体" w:cs="宋体"/>
                <w:color w:val="000000"/>
                <w:sz w:val="21"/>
                <w:szCs w:val="21"/>
                <w:lang w:val="en-US" w:eastAsia="zh-CN"/>
              </w:rPr>
              <w:t>1000</w:t>
            </w:r>
            <w:r>
              <w:rPr>
                <w:rFonts w:hint="eastAsia" w:ascii="宋体" w:hAnsi="宋体" w:eastAsia="宋体" w:cs="宋体"/>
                <w:color w:val="000000"/>
                <w:sz w:val="21"/>
                <w:szCs w:val="21"/>
              </w:rPr>
              <w:t>万元以上。（电商扶贫销售额占20%以上）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817" w:hRule="atLeast"/>
          <w:tblCellSpacing w:w="7" w:type="dxa"/>
          <w:jc w:val="center"/>
        </w:trPr>
        <w:tc>
          <w:tcPr>
            <w:tcW w:w="837" w:type="dxa"/>
            <w:vMerge w:val="continue"/>
            <w:tcBorders>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2、农村电商经营主体培育</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培育3-4个电商小镇、20个电商特色村，孵化一批创业网商队伍，引导一批传统企业开展互联网转型升级。</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1、培育3-4个电商小镇、20个电商特色村，孵化一批创业网商队伍，引导一批传统企业开展互联网转型升级。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176" w:hRule="atLeast"/>
          <w:tblCellSpacing w:w="7" w:type="dxa"/>
          <w:jc w:val="center"/>
        </w:trPr>
        <w:tc>
          <w:tcPr>
            <w:tcW w:w="837" w:type="dxa"/>
            <w:vMerge w:val="restart"/>
            <w:tcBorders>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（二）</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sz w:val="24"/>
              </w:rPr>
            </w:pPr>
            <w:r>
              <w:rPr>
                <w:rFonts w:hint="eastAsia" w:ascii="宋体" w:hAnsi="宋体" w:eastAsia="宋体" w:cs="宋体"/>
                <w:b/>
                <w:color w:val="000000"/>
              </w:rPr>
              <w:t>农村电子商务服务网点</w:t>
            </w:r>
          </w:p>
        </w:tc>
        <w:tc>
          <w:tcPr>
            <w:tcW w:w="1328" w:type="dxa"/>
            <w:tcBorders>
              <w:top w:val="single" w:color="auto" w:sz="4"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3、镇级电商服务站建设</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统一标识；</w:t>
            </w:r>
            <w:r>
              <w:rPr>
                <w:rFonts w:hint="eastAsia" w:ascii="宋体" w:hAnsi="宋体" w:eastAsia="宋体" w:cs="宋体"/>
                <w:color w:val="000000"/>
                <w:lang w:eastAsia="zh-CN"/>
              </w:rPr>
              <w:t>符</w:t>
            </w:r>
            <w:r>
              <w:rPr>
                <w:rFonts w:hint="eastAsia" w:ascii="宋体" w:hAnsi="宋体" w:eastAsia="宋体" w:cs="宋体"/>
                <w:color w:val="000000"/>
              </w:rPr>
              <w:t>合选址要求；办公设备齐全；提供商品代购、产品代销、物流快递、便民服务、业务宣传、创业服务、信息上报、管理制度等服务功能。</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numPr>
                <w:ilvl w:val="0"/>
                <w:numId w:val="7"/>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网店区域实际使用面积不少于50平方米。</w:t>
            </w:r>
          </w:p>
          <w:p>
            <w:pPr>
              <w:keepNext w:val="0"/>
              <w:keepLines w:val="0"/>
              <w:pageBreakBefore w:val="0"/>
              <w:numPr>
                <w:ilvl w:val="0"/>
                <w:numId w:val="7"/>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配备1-2名工作人员。</w:t>
            </w:r>
          </w:p>
          <w:p>
            <w:pPr>
              <w:keepNext w:val="0"/>
              <w:keepLines w:val="0"/>
              <w:pageBreakBefore w:val="0"/>
              <w:numPr>
                <w:ilvl w:val="0"/>
                <w:numId w:val="7"/>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至少建设</w:t>
            </w:r>
            <w:r>
              <w:rPr>
                <w:rFonts w:hint="eastAsia" w:ascii="宋体" w:hAnsi="宋体" w:eastAsia="宋体" w:cs="宋体"/>
                <w:color w:val="000000"/>
                <w:szCs w:val="21"/>
                <w:lang w:val="en-US" w:eastAsia="zh-CN"/>
              </w:rPr>
              <w:t>4</w:t>
            </w:r>
            <w:r>
              <w:rPr>
                <w:rFonts w:hint="eastAsia" w:ascii="宋体" w:hAnsi="宋体" w:eastAsia="宋体" w:cs="宋体"/>
                <w:color w:val="000000"/>
                <w:szCs w:val="21"/>
              </w:rPr>
              <w:t>个镇级电商服务站。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206" w:hRule="atLeast"/>
          <w:tblCellSpacing w:w="7" w:type="dxa"/>
          <w:jc w:val="center"/>
        </w:trPr>
        <w:tc>
          <w:tcPr>
            <w:tcW w:w="837" w:type="dxa"/>
            <w:vMerge w:val="continue"/>
            <w:tcBorders>
              <w:left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sz w:val="24"/>
              </w:rPr>
            </w:pP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4、村级电商服务站建设</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统一标识；</w:t>
            </w:r>
            <w:r>
              <w:rPr>
                <w:rFonts w:hint="eastAsia" w:ascii="宋体" w:hAnsi="宋体" w:eastAsia="宋体" w:cs="宋体"/>
                <w:color w:val="000000"/>
                <w:lang w:eastAsia="zh-CN"/>
              </w:rPr>
              <w:t>符</w:t>
            </w:r>
            <w:r>
              <w:rPr>
                <w:rFonts w:hint="eastAsia" w:ascii="宋体" w:hAnsi="宋体" w:eastAsia="宋体" w:cs="宋体"/>
                <w:color w:val="000000"/>
              </w:rPr>
              <w:t>合选址要求；办公设备齐全；提供商品代购、产品代销、物流快递、便民服务、业务宣传、信息上报等服务功能。</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1、网店区域实际使用面积不少于10平方米。</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2、配备1名人员。</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3、全区行政村站点覆盖率达到</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0%</w:t>
            </w:r>
            <w:r>
              <w:rPr>
                <w:rFonts w:hint="eastAsia" w:ascii="宋体" w:hAnsi="宋体" w:eastAsia="宋体" w:cs="宋体"/>
                <w:color w:val="000000"/>
                <w:szCs w:val="21"/>
                <w:lang w:eastAsia="zh-CN"/>
              </w:rPr>
              <w:t>以上</w:t>
            </w:r>
            <w:r>
              <w:rPr>
                <w:rFonts w:hint="eastAsia" w:ascii="宋体" w:hAnsi="宋体" w:eastAsia="宋体" w:cs="宋体"/>
                <w:color w:val="000000"/>
                <w:szCs w:val="21"/>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blCellSpacing w:w="7" w:type="dxa"/>
          <w:jc w:val="center"/>
        </w:trPr>
        <w:tc>
          <w:tcPr>
            <w:tcW w:w="837" w:type="dxa"/>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（三）</w:t>
            </w:r>
          </w:p>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电子商务人才培训体系建设</w:t>
            </w: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5、农村电子商务培训</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rPr>
            </w:pPr>
            <w:r>
              <w:rPr>
                <w:rFonts w:hint="eastAsia" w:ascii="宋体" w:hAnsi="宋体" w:eastAsia="宋体" w:cs="宋体"/>
                <w:color w:val="000000"/>
              </w:rPr>
              <w:t>依托区级电商公共服务中心，建全符合条件的培训机构、培训场地及师资。针对重点人群，每年培训不少于2000人次的农村电商人才。</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numPr>
                <w:ilvl w:val="0"/>
                <w:numId w:val="8"/>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在区级电商公共服务中心设有办公场地、培训场地和实训机房，可以长期实施电商培训；</w:t>
            </w:r>
          </w:p>
          <w:p>
            <w:pPr>
              <w:keepNext w:val="0"/>
              <w:keepLines w:val="0"/>
              <w:pageBreakBefore w:val="0"/>
              <w:numPr>
                <w:ilvl w:val="0"/>
                <w:numId w:val="8"/>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具有专业培训师资团队及成体系的培训课程；</w:t>
            </w:r>
          </w:p>
          <w:p>
            <w:pPr>
              <w:keepNext w:val="0"/>
              <w:keepLines w:val="0"/>
              <w:pageBreakBefore w:val="0"/>
              <w:numPr>
                <w:ilvl w:val="0"/>
                <w:numId w:val="8"/>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严格遵守中央和地方培训管理办法，加强培训档案和经费管理。</w:t>
            </w:r>
          </w:p>
          <w:p>
            <w:pPr>
              <w:keepNext w:val="0"/>
              <w:keepLines w:val="0"/>
              <w:pageBreakBefore w:val="0"/>
              <w:numPr>
                <w:ilvl w:val="0"/>
                <w:numId w:val="8"/>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每年培训不少于</w:t>
            </w:r>
            <w:r>
              <w:rPr>
                <w:rFonts w:hint="eastAsia" w:ascii="宋体" w:hAnsi="宋体" w:eastAsia="宋体" w:cs="宋体"/>
                <w:color w:val="000000"/>
                <w:szCs w:val="21"/>
                <w:lang w:val="en-US" w:eastAsia="zh-CN"/>
              </w:rPr>
              <w:t>20</w:t>
            </w:r>
            <w:r>
              <w:rPr>
                <w:rFonts w:hint="eastAsia" w:ascii="宋体" w:hAnsi="宋体" w:eastAsia="宋体" w:cs="宋体"/>
                <w:color w:val="000000"/>
                <w:szCs w:val="21"/>
              </w:rPr>
              <w:t>00人次。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849" w:hRule="atLeast"/>
          <w:tblCellSpacing w:w="7" w:type="dxa"/>
          <w:jc w:val="center"/>
        </w:trPr>
        <w:tc>
          <w:tcPr>
            <w:tcW w:w="837" w:type="dxa"/>
            <w:vMerge w:val="restart"/>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（四）区级电商物流配送中心</w:t>
            </w:r>
          </w:p>
        </w:tc>
        <w:tc>
          <w:tcPr>
            <w:tcW w:w="1328" w:type="dxa"/>
            <w:vMerge w:val="restart"/>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6、区级电商物流配送中心建设</w:t>
            </w:r>
          </w:p>
        </w:tc>
        <w:tc>
          <w:tcPr>
            <w:tcW w:w="3811" w:type="dxa"/>
            <w:vMerge w:val="restart"/>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区级电商物流配送中心建设面积不少于5000平方米。</w:t>
            </w:r>
            <w:r>
              <w:rPr>
                <w:rFonts w:hint="eastAsia" w:ascii="宋体" w:hAnsi="宋体" w:eastAsia="宋体" w:cs="宋体"/>
                <w:color w:val="000000"/>
                <w:shd w:val="clear" w:color="auto" w:fill="FFFFFF"/>
              </w:rPr>
              <w:t>电商物流企业开展三级电商物流配送。力争区实现“快递进村”全覆盖。</w:t>
            </w:r>
            <w:r>
              <w:rPr>
                <w:rFonts w:hint="eastAsia" w:ascii="宋体" w:hAnsi="宋体" w:eastAsia="宋体" w:cs="宋体"/>
                <w:color w:val="000000"/>
              </w:rPr>
              <w:t>中心设施设备齐全、有固定运营车辆；农村物流信息管理平台功能齐全。</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配备必要办公设备、半自动分拣设备、安检机等硬件，建设一套农村物流信息管理平台。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254" w:hRule="atLeast"/>
          <w:tblCellSpacing w:w="7" w:type="dxa"/>
          <w:jc w:val="center"/>
        </w:trPr>
        <w:tc>
          <w:tcPr>
            <w:tcW w:w="837" w:type="dxa"/>
            <w:vMerge w:val="continue"/>
            <w:tcBorders>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p>
        </w:tc>
        <w:tc>
          <w:tcPr>
            <w:tcW w:w="1328" w:type="dxa"/>
            <w:vMerge w:val="continue"/>
            <w:tcBorders>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p>
        </w:tc>
        <w:tc>
          <w:tcPr>
            <w:tcW w:w="3811" w:type="dxa"/>
            <w:vMerge w:val="continue"/>
            <w:tcBorders>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333333"/>
                <w:sz w:val="18"/>
                <w:szCs w:val="18"/>
                <w:shd w:val="clear" w:color="auto" w:fill="FFFFFF"/>
              </w:rPr>
              <w:t>1、</w:t>
            </w:r>
            <w:r>
              <w:rPr>
                <w:rFonts w:hint="eastAsia" w:ascii="宋体" w:hAnsi="宋体" w:eastAsia="宋体" w:cs="宋体"/>
                <w:color w:val="000000"/>
                <w:sz w:val="18"/>
                <w:szCs w:val="18"/>
              </w:rPr>
              <w:t>区级电商物流配送中心建设面积不少于5000平方米。</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2、使用补贴资金购买的运营车辆应承诺为农村电商网货配送3年以上，3年内不得转让。</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 w:val="18"/>
                <w:szCs w:val="18"/>
              </w:rPr>
            </w:pPr>
            <w:r>
              <w:rPr>
                <w:rFonts w:hint="eastAsia" w:ascii="宋体" w:hAnsi="宋体" w:eastAsia="宋体" w:cs="宋体"/>
                <w:color w:val="000000"/>
                <w:sz w:val="18"/>
                <w:szCs w:val="18"/>
              </w:rPr>
              <w:t>3、</w:t>
            </w:r>
            <w:r>
              <w:rPr>
                <w:rFonts w:hint="eastAsia" w:ascii="宋体" w:hAnsi="宋体" w:eastAsia="宋体" w:cs="宋体"/>
                <w:color w:val="000000"/>
                <w:sz w:val="18"/>
                <w:szCs w:val="18"/>
                <w:shd w:val="clear" w:color="auto" w:fill="FFFFFF"/>
              </w:rPr>
              <w:t>实现快递从区到乡镇12小时、到村24小时完成配送。</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 w:val="18"/>
                <w:szCs w:val="18"/>
              </w:rPr>
              <w:t>4、农村物流信息管理平台功能完善。</w:t>
            </w:r>
            <w:r>
              <w:rPr>
                <w:rFonts w:hint="eastAsia" w:ascii="宋体" w:hAnsi="宋体" w:eastAsia="宋体" w:cs="宋体"/>
                <w:color w:val="000000"/>
                <w:szCs w:val="21"/>
              </w:rPr>
              <w:t xml:space="preserve">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254" w:hRule="atLeast"/>
          <w:tblCellSpacing w:w="7" w:type="dxa"/>
          <w:jc w:val="center"/>
        </w:trPr>
        <w:tc>
          <w:tcPr>
            <w:tcW w:w="837" w:type="dxa"/>
            <w:vMerge w:val="continue"/>
            <w:tcBorders>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7、区级农产品电商仓储中心建设</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rPr>
            </w:pPr>
            <w:r>
              <w:rPr>
                <w:rFonts w:hint="eastAsia" w:ascii="宋体" w:hAnsi="宋体" w:eastAsia="宋体" w:cs="宋体"/>
                <w:color w:val="000000"/>
              </w:rPr>
              <w:t>建设一个500平方米左右的区级农产品电商仓储中心，为电商企业提供农产品的收集中转场地。</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numPr>
                <w:ilvl w:val="0"/>
                <w:numId w:val="9"/>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仓储中心面积不少于500平方米。</w:t>
            </w:r>
          </w:p>
          <w:p>
            <w:pPr>
              <w:keepNext w:val="0"/>
              <w:keepLines w:val="0"/>
              <w:pageBreakBefore w:val="0"/>
              <w:numPr>
                <w:ilvl w:val="0"/>
                <w:numId w:val="9"/>
              </w:numPr>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场地符合要求。</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2154" w:hRule="atLeast"/>
          <w:tblCellSpacing w:w="7" w:type="dxa"/>
          <w:jc w:val="center"/>
        </w:trPr>
        <w:tc>
          <w:tcPr>
            <w:tcW w:w="837" w:type="dxa"/>
            <w:vMerge w:val="restart"/>
            <w:tcBorders>
              <w:left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（五）</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品牌培育和质量保障体系建设</w:t>
            </w: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8、农产品网络品牌培育体系建设</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根据荆州区实际，利用淘宝、京东等平台建设荆州特色馆，针对本地农产品进行包装设计、品牌策划，实现平台销售及品牌推广。</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1、至少在3个第三方电商平台建设荆州区特色产品网上店铺，包含店铺建设、设计、运营。</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2、打造荆州特色产品包装。</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3、至少培育5个以上农产品电商品牌。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473" w:hRule="atLeast"/>
          <w:tblCellSpacing w:w="7" w:type="dxa"/>
          <w:jc w:val="center"/>
        </w:trPr>
        <w:tc>
          <w:tcPr>
            <w:tcW w:w="837" w:type="dxa"/>
            <w:vMerge w:val="continue"/>
            <w:tcBorders>
              <w:left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sz w:val="24"/>
              </w:rPr>
            </w:pP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rPr>
            </w:pPr>
            <w:r>
              <w:rPr>
                <w:rFonts w:hint="eastAsia" w:ascii="宋体" w:hAnsi="宋体" w:eastAsia="宋体" w:cs="宋体"/>
                <w:b/>
                <w:color w:val="000000"/>
              </w:rPr>
              <w:t>9、农产品质量安全保障体系建设</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rPr>
            </w:pPr>
            <w:r>
              <w:rPr>
                <w:rFonts w:hint="eastAsia" w:ascii="宋体" w:hAnsi="宋体" w:eastAsia="宋体" w:cs="宋体"/>
                <w:color w:val="000000"/>
              </w:rPr>
              <w:t>以标准化、市场化、可追溯化对本区内多个产品开展农产品质量追溯体系建设，从源头上抓起，实现“一品一码”。</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至少对荆州区5个以上产品开展农产品质量追溯体系建设。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320" w:hRule="atLeast"/>
          <w:tblCellSpacing w:w="7" w:type="dxa"/>
          <w:jc w:val="center"/>
        </w:trPr>
        <w:tc>
          <w:tcPr>
            <w:tcW w:w="837" w:type="dxa"/>
            <w:vMerge w:val="restart"/>
            <w:tcBorders>
              <w:left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sz w:val="24"/>
              </w:rPr>
            </w:pPr>
            <w:r>
              <w:rPr>
                <w:rFonts w:hint="eastAsia" w:ascii="宋体" w:hAnsi="宋体" w:eastAsia="宋体" w:cs="宋体"/>
                <w:b/>
                <w:color w:val="000000"/>
                <w:sz w:val="24"/>
              </w:rPr>
              <w:t>（六）</w:t>
            </w:r>
          </w:p>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sz w:val="24"/>
              </w:rPr>
            </w:pPr>
            <w:r>
              <w:rPr>
                <w:rFonts w:hint="eastAsia" w:ascii="宋体" w:hAnsi="宋体" w:eastAsia="宋体" w:cs="宋体"/>
                <w:b/>
                <w:color w:val="000000"/>
                <w:sz w:val="24"/>
              </w:rPr>
              <w:t>农产品电子商务营销服务体系建设</w:t>
            </w:r>
          </w:p>
        </w:tc>
        <w:tc>
          <w:tcPr>
            <w:tcW w:w="1328" w:type="dxa"/>
            <w:vMerge w:val="restart"/>
            <w:tcBorders>
              <w:top w:val="single" w:color="auto" w:sz="6" w:space="0"/>
              <w:left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10、建设线上和线下展馆</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rPr>
            </w:pPr>
            <w:r>
              <w:rPr>
                <w:rFonts w:hint="eastAsia" w:ascii="宋体" w:hAnsi="宋体" w:eastAsia="宋体" w:cs="宋体"/>
                <w:color w:val="000000"/>
              </w:rPr>
              <w:t>建设标准线上特色馆。利用淘宝、京东等平台建设荆州特色馆；项目宣传推广工作。</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线上特色馆单馆入驻产品不少于20个，单馆年销售额达到150万元；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800" w:hRule="atLeast"/>
          <w:tblCellSpacing w:w="7" w:type="dxa"/>
          <w:jc w:val="center"/>
        </w:trPr>
        <w:tc>
          <w:tcPr>
            <w:tcW w:w="837" w:type="dxa"/>
            <w:vMerge w:val="continue"/>
            <w:tcBorders>
              <w:left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sz w:val="24"/>
              </w:rPr>
            </w:pPr>
          </w:p>
        </w:tc>
        <w:tc>
          <w:tcPr>
            <w:tcW w:w="1328" w:type="dxa"/>
            <w:vMerge w:val="continue"/>
            <w:tcBorders>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rPr>
            </w:pP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rPr>
            </w:pPr>
            <w:r>
              <w:rPr>
                <w:rFonts w:hint="eastAsia" w:ascii="宋体" w:hAnsi="宋体" w:eastAsia="宋体" w:cs="宋体"/>
                <w:color w:val="000000"/>
              </w:rPr>
              <w:t>建设线下展示馆。</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建立至少1个面积不少于150平米的农产品O2O体验展示馆；推荐10家优秀企业入驻，销售品类达到60个以上；单馆年销售额达到50万元以上。</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15" w:type="dxa"/>
            <w:left w:w="15" w:type="dxa"/>
            <w:bottom w:w="15" w:type="dxa"/>
            <w:right w:w="15" w:type="dxa"/>
          </w:tblCellMar>
        </w:tblPrEx>
        <w:trPr>
          <w:trHeight w:val="1260" w:hRule="atLeast"/>
          <w:tblCellSpacing w:w="7" w:type="dxa"/>
          <w:jc w:val="center"/>
        </w:trPr>
        <w:tc>
          <w:tcPr>
            <w:tcW w:w="837" w:type="dxa"/>
            <w:vMerge w:val="continue"/>
            <w:tcBorders>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color w:val="000000"/>
                <w:sz w:val="24"/>
              </w:rPr>
            </w:pPr>
          </w:p>
        </w:tc>
        <w:tc>
          <w:tcPr>
            <w:tcW w:w="1328"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textAlignment w:val="auto"/>
              <w:outlineLvl w:val="9"/>
              <w:rPr>
                <w:rFonts w:hint="eastAsia" w:ascii="宋体" w:hAnsi="宋体" w:eastAsia="宋体" w:cs="宋体"/>
                <w:b/>
                <w:color w:val="000000"/>
              </w:rPr>
            </w:pPr>
            <w:r>
              <w:rPr>
                <w:rFonts w:hint="eastAsia" w:ascii="宋体" w:hAnsi="宋体" w:eastAsia="宋体" w:cs="宋体"/>
                <w:b/>
                <w:color w:val="000000"/>
              </w:rPr>
              <w:t>11、设立自提体验点</w:t>
            </w:r>
          </w:p>
        </w:tc>
        <w:tc>
          <w:tcPr>
            <w:tcW w:w="3811"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21"/>
              <w:keepNext w:val="0"/>
              <w:keepLines w:val="0"/>
              <w:pageBreakBefore w:val="0"/>
              <w:widowControl/>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rPr>
            </w:pPr>
            <w:r>
              <w:rPr>
                <w:rFonts w:hint="eastAsia" w:ascii="宋体" w:hAnsi="宋体" w:eastAsia="宋体" w:cs="宋体"/>
                <w:color w:val="000000"/>
              </w:rPr>
              <w:t>以线上+线下的营销方式及小区电商平台，设立农产品社区自提体验点。</w:t>
            </w:r>
          </w:p>
        </w:tc>
        <w:tc>
          <w:tcPr>
            <w:tcW w:w="32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beforeAutospacing="0" w:afterAutospacing="0" w:line="340" w:lineRule="exact"/>
              <w:ind w:left="0" w:firstLine="0" w:firstLineChars="0"/>
              <w:jc w:val="both"/>
              <w:textAlignment w:val="auto"/>
              <w:outlineLvl w:val="9"/>
              <w:rPr>
                <w:rFonts w:hint="eastAsia" w:ascii="宋体" w:hAnsi="宋体" w:eastAsia="宋体" w:cs="宋体"/>
                <w:color w:val="000000"/>
                <w:szCs w:val="21"/>
              </w:rPr>
            </w:pPr>
            <w:r>
              <w:rPr>
                <w:rFonts w:hint="eastAsia" w:ascii="宋体" w:hAnsi="宋体" w:eastAsia="宋体" w:cs="宋体"/>
                <w:color w:val="000000"/>
                <w:szCs w:val="21"/>
              </w:rPr>
              <w:t>50个荆州区农产品上行小区自提体验点和荆州区农产品上行营销渠道。</w:t>
            </w:r>
          </w:p>
        </w:tc>
      </w:tr>
    </w:tbl>
    <w:p>
      <w:pPr>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br w:type="page"/>
      </w:r>
    </w:p>
    <w:p>
      <w:pPr>
        <w:pStyle w:val="29"/>
        <w:keepNext w:val="0"/>
        <w:keepLines w:val="0"/>
        <w:pageBreakBefore w:val="0"/>
        <w:widowControl w:val="0"/>
        <w:kinsoku/>
        <w:wordWrap/>
        <w:overflowPunct/>
        <w:topLinePunct w:val="0"/>
        <w:autoSpaceDE w:val="0"/>
        <w:autoSpaceDN w:val="0"/>
        <w:bidi w:val="0"/>
        <w:adjustRightInd/>
        <w:snapToGrid/>
        <w:spacing w:line="54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三、采购明细及要求</w:t>
      </w:r>
    </w:p>
    <w:p>
      <w:pPr>
        <w:pStyle w:val="29"/>
        <w:keepNext w:val="0"/>
        <w:keepLines w:val="0"/>
        <w:pageBreakBefore w:val="0"/>
        <w:widowControl w:val="0"/>
        <w:kinsoku/>
        <w:wordWrap/>
        <w:overflowPunct/>
        <w:topLinePunct w:val="0"/>
        <w:autoSpaceDE w:val="0"/>
        <w:autoSpaceDN w:val="0"/>
        <w:bidi w:val="0"/>
        <w:adjustRightInd/>
        <w:snapToGrid/>
        <w:spacing w:line="54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p>
    <w:tbl>
      <w:tblPr>
        <w:tblStyle w:val="23"/>
        <w:tblW w:w="8817" w:type="dxa"/>
        <w:tblInd w:w="0" w:type="dxa"/>
        <w:shd w:val="clear" w:color="auto" w:fill="auto"/>
        <w:tblLayout w:type="fixed"/>
        <w:tblCellMar>
          <w:top w:w="0" w:type="dxa"/>
          <w:left w:w="0" w:type="dxa"/>
          <w:bottom w:w="0" w:type="dxa"/>
          <w:right w:w="0" w:type="dxa"/>
        </w:tblCellMar>
      </w:tblPr>
      <w:tblGrid>
        <w:gridCol w:w="686"/>
        <w:gridCol w:w="5304"/>
        <w:gridCol w:w="1411"/>
        <w:gridCol w:w="1416"/>
      </w:tblGrid>
      <w:tr>
        <w:tblPrEx>
          <w:shd w:val="clear" w:color="auto" w:fill="auto"/>
          <w:tblCellMar>
            <w:top w:w="0" w:type="dxa"/>
            <w:left w:w="0" w:type="dxa"/>
            <w:bottom w:w="0" w:type="dxa"/>
            <w:right w:w="0" w:type="dxa"/>
          </w:tblCellMar>
        </w:tblPrEx>
        <w:trPr>
          <w:trHeight w:val="1000" w:hRule="atLeast"/>
        </w:trPr>
        <w:tc>
          <w:tcPr>
            <w:tcW w:w="8817" w:type="dxa"/>
            <w:gridSpan w:val="4"/>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等线" w:hAnsi="等线" w:eastAsia="等线" w:cs="等线"/>
                <w:i w:val="0"/>
                <w:color w:val="000000"/>
                <w:sz w:val="36"/>
                <w:szCs w:val="36"/>
                <w:u w:val="none"/>
              </w:rPr>
            </w:pPr>
            <w:r>
              <w:rPr>
                <w:rFonts w:hint="default" w:ascii="等线" w:hAnsi="等线" w:eastAsia="等线" w:cs="等线"/>
                <w:i w:val="0"/>
                <w:color w:val="000000"/>
                <w:kern w:val="0"/>
                <w:sz w:val="36"/>
                <w:szCs w:val="36"/>
                <w:u w:val="none"/>
                <w:lang w:val="en-US" w:eastAsia="zh-CN" w:bidi="ar"/>
              </w:rPr>
              <w:t>荆州区电子商务进农村省级示范项目汇总表</w:t>
            </w:r>
          </w:p>
        </w:tc>
      </w:tr>
      <w:tr>
        <w:tblPrEx>
          <w:shd w:val="clear" w:color="auto" w:fill="auto"/>
          <w:tblCellMar>
            <w:top w:w="0" w:type="dxa"/>
            <w:left w:w="0" w:type="dxa"/>
            <w:bottom w:w="0" w:type="dxa"/>
            <w:right w:w="0" w:type="dxa"/>
          </w:tblCellMar>
        </w:tblPrEx>
        <w:trPr>
          <w:trHeight w:val="1000" w:hRule="atLeast"/>
        </w:trPr>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5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单项工程名称</w:t>
            </w:r>
          </w:p>
        </w:tc>
        <w:tc>
          <w:tcPr>
            <w:tcW w:w="14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金额（元）</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1000" w:hRule="atLeast"/>
        </w:trPr>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5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区、镇、村三级电商公共服务体系建设</w:t>
            </w:r>
          </w:p>
        </w:tc>
        <w:tc>
          <w:tcPr>
            <w:tcW w:w="14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5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电商培训资金</w:t>
            </w:r>
          </w:p>
        </w:tc>
        <w:tc>
          <w:tcPr>
            <w:tcW w:w="14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5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区、镇、村三级物流配套体系建设</w:t>
            </w:r>
          </w:p>
        </w:tc>
        <w:tc>
          <w:tcPr>
            <w:tcW w:w="14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r>
      <w:tr>
        <w:tblPrEx>
          <w:shd w:val="clear" w:color="auto" w:fill="auto"/>
          <w:tblCellMar>
            <w:top w:w="0" w:type="dxa"/>
            <w:left w:w="0" w:type="dxa"/>
            <w:bottom w:w="0" w:type="dxa"/>
            <w:right w:w="0" w:type="dxa"/>
          </w:tblCellMar>
        </w:tblPrEx>
        <w:trPr>
          <w:trHeight w:val="1000" w:hRule="atLeast"/>
        </w:trPr>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53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农产品上行体系建设</w:t>
            </w:r>
          </w:p>
        </w:tc>
        <w:tc>
          <w:tcPr>
            <w:tcW w:w="141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1000" w:hRule="atLeast"/>
        </w:trPr>
        <w:tc>
          <w:tcPr>
            <w:tcW w:w="68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53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合计</w:t>
            </w:r>
          </w:p>
        </w:tc>
        <w:tc>
          <w:tcPr>
            <w:tcW w:w="1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4"/>
                <w:szCs w:val="24"/>
                <w:u w:val="none"/>
              </w:rPr>
            </w:pPr>
          </w:p>
        </w:tc>
      </w:tr>
    </w:tbl>
    <w:p>
      <w:pPr>
        <w:rPr>
          <w:rFonts w:hint="default" w:ascii="仿宋_GB2312" w:hAnsi="仿宋_GB2312" w:eastAsia="仿宋_GB2312" w:cs="仿宋_GB2312"/>
          <w:color w:val="auto"/>
          <w:kern w:val="2"/>
          <w:sz w:val="32"/>
          <w:szCs w:val="32"/>
          <w:lang w:val="en-US" w:eastAsia="zh-CN" w:bidi="ar-SA"/>
        </w:rPr>
      </w:pPr>
    </w:p>
    <w:p>
      <w:pPr>
        <w:rPr>
          <w:rFonts w:hint="default" w:ascii="仿宋_GB2312" w:hAnsi="仿宋_GB2312" w:eastAsia="仿宋_GB2312" w:cs="仿宋_GB2312"/>
          <w:color w:val="auto"/>
          <w:kern w:val="2"/>
          <w:sz w:val="32"/>
          <w:szCs w:val="32"/>
          <w:lang w:val="en-US" w:eastAsia="zh-CN" w:bidi="ar-SA"/>
        </w:rPr>
        <w:sectPr>
          <w:footerReference r:id="rId5" w:type="first"/>
          <w:footerReference r:id="rId4" w:type="default"/>
          <w:pgSz w:w="11906" w:h="16838"/>
          <w:pgMar w:top="1440" w:right="1418" w:bottom="1440" w:left="1701" w:header="851" w:footer="992" w:gutter="0"/>
          <w:pgNumType w:fmt="decimal" w:start="1"/>
          <w:cols w:space="720" w:num="1"/>
          <w:titlePg/>
          <w:docGrid w:linePitch="312" w:charSpace="0"/>
        </w:sectPr>
      </w:pPr>
    </w:p>
    <w:tbl>
      <w:tblPr>
        <w:tblStyle w:val="23"/>
        <w:tblW w:w="13988" w:type="dxa"/>
        <w:tblInd w:w="0" w:type="dxa"/>
        <w:shd w:val="clear" w:color="auto" w:fill="auto"/>
        <w:tblLayout w:type="fixed"/>
        <w:tblCellMar>
          <w:top w:w="0" w:type="dxa"/>
          <w:left w:w="0" w:type="dxa"/>
          <w:bottom w:w="0" w:type="dxa"/>
          <w:right w:w="0" w:type="dxa"/>
        </w:tblCellMar>
      </w:tblPr>
      <w:tblGrid>
        <w:gridCol w:w="510"/>
        <w:gridCol w:w="651"/>
        <w:gridCol w:w="704"/>
        <w:gridCol w:w="910"/>
        <w:gridCol w:w="1130"/>
        <w:gridCol w:w="7307"/>
        <w:gridCol w:w="523"/>
        <w:gridCol w:w="747"/>
        <w:gridCol w:w="753"/>
        <w:gridCol w:w="753"/>
      </w:tblGrid>
      <w:tr>
        <w:tblPrEx>
          <w:tblCellMar>
            <w:top w:w="0" w:type="dxa"/>
            <w:left w:w="0" w:type="dxa"/>
            <w:bottom w:w="0" w:type="dxa"/>
            <w:right w:w="0" w:type="dxa"/>
          </w:tblCellMar>
        </w:tblPrEx>
        <w:trPr>
          <w:trHeight w:val="1000" w:hRule="atLeast"/>
        </w:trPr>
        <w:tc>
          <w:tcPr>
            <w:tcW w:w="13988" w:type="dxa"/>
            <w:gridSpan w:val="10"/>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方正小标宋简体" w:hAnsi="方正小标宋简体" w:eastAsia="方正小标宋简体" w:cs="方正小标宋简体"/>
                <w:b/>
                <w:i w:val="0"/>
                <w:color w:val="000000"/>
                <w:sz w:val="36"/>
                <w:szCs w:val="36"/>
                <w:u w:val="none"/>
              </w:rPr>
            </w:pPr>
            <w:r>
              <w:rPr>
                <w:rFonts w:hint="eastAsia" w:ascii="方正小标宋简体" w:hAnsi="方正小标宋简体" w:eastAsia="方正小标宋简体" w:cs="方正小标宋简体"/>
                <w:b/>
                <w:i w:val="0"/>
                <w:color w:val="000000"/>
                <w:kern w:val="0"/>
                <w:sz w:val="36"/>
                <w:szCs w:val="36"/>
                <w:u w:val="none"/>
                <w:lang w:val="en-US" w:eastAsia="zh-CN" w:bidi="ar"/>
              </w:rPr>
              <w:t>1</w:t>
            </w:r>
            <w:r>
              <w:rPr>
                <w:rFonts w:hint="default" w:ascii="方正小标宋简体" w:hAnsi="方正小标宋简体" w:eastAsia="方正小标宋简体" w:cs="方正小标宋简体"/>
                <w:b/>
                <w:i w:val="0"/>
                <w:color w:val="000000"/>
                <w:kern w:val="0"/>
                <w:sz w:val="36"/>
                <w:szCs w:val="36"/>
                <w:u w:val="none"/>
                <w:lang w:val="en-US" w:eastAsia="zh-CN" w:bidi="ar"/>
              </w:rPr>
              <w:t xml:space="preserve"> 区、镇、村三级电商公共服务体系建设明细表</w:t>
            </w:r>
          </w:p>
        </w:tc>
      </w:tr>
      <w:tr>
        <w:tblPrEx>
          <w:tblCellMar>
            <w:top w:w="0" w:type="dxa"/>
            <w:left w:w="0" w:type="dxa"/>
            <w:bottom w:w="0" w:type="dxa"/>
            <w:right w:w="0" w:type="dxa"/>
          </w:tblCellMar>
        </w:tblPrEx>
        <w:trPr>
          <w:trHeight w:val="535"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序号</w:t>
            </w:r>
          </w:p>
        </w:tc>
        <w:tc>
          <w:tcPr>
            <w:tcW w:w="6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项目大类</w:t>
            </w: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项目</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内容</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子项目</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标          准</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单位</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数量</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单 价（元）</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小 计（元）</w:t>
            </w:r>
          </w:p>
        </w:tc>
      </w:tr>
      <w:tr>
        <w:tblPrEx>
          <w:tblCellMar>
            <w:top w:w="0" w:type="dxa"/>
            <w:left w:w="0" w:type="dxa"/>
            <w:bottom w:w="0" w:type="dxa"/>
            <w:right w:w="0" w:type="dxa"/>
          </w:tblCellMar>
        </w:tblPrEx>
        <w:trPr>
          <w:trHeight w:val="702" w:hRule="atLeast"/>
        </w:trPr>
        <w:tc>
          <w:tcPr>
            <w:tcW w:w="51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电商公共服务体系建设</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区级电商公共服务中心</w:t>
            </w:r>
          </w:p>
        </w:tc>
        <w:tc>
          <w:tcPr>
            <w:tcW w:w="91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场地改造</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房租、改建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区级公共服务中心房屋租赁费；对办公区域进行改造，使其符合电商服务中心功能需求，如招牌，指引牌，电商宣传氛围打造等</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项</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5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办公室设备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投影仪</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1、分辨率≥1920X1080；2、对比度≥15000:1；3、亮度≥2500ANSI；4、配备≥100寸投影幕布及相关配件</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44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音箱系统</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无线麦2个以上，音箱2个以上，配套相应功放等设备，总功率不低于250W</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379"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农产品展柜</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陈列位置不低于100个展位，实用性强。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815"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显示大屏</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1、液晶拼接屏 （3*2）；2、物理分辨率≥1920X1080；3、亮度达到 500cd/㎡；4、对比度达到 4500:1；5、屏幕尺寸≥49寸；6、100路监控画面接入，拼接解码器、拼接控制软件、屏幕支架等。</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9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监控设备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高清球</w:t>
            </w:r>
            <w:r>
              <w:rPr>
                <w:rFonts w:hint="default" w:ascii="等线" w:hAnsi="等线" w:eastAsia="等线" w:cs="等线"/>
                <w:i w:val="0"/>
                <w:color w:val="000000"/>
                <w:kern w:val="0"/>
                <w:sz w:val="22"/>
                <w:szCs w:val="22"/>
                <w:u w:val="none"/>
                <w:lang w:val="en-US" w:eastAsia="zh-CN" w:bidi="ar"/>
              </w:rPr>
              <w:br w:type="textWrapping"/>
            </w:r>
            <w:r>
              <w:rPr>
                <w:rFonts w:hint="default" w:ascii="等线" w:hAnsi="等线" w:eastAsia="等线" w:cs="等线"/>
                <w:i w:val="0"/>
                <w:color w:val="000000"/>
                <w:kern w:val="0"/>
                <w:sz w:val="22"/>
                <w:szCs w:val="22"/>
                <w:u w:val="none"/>
                <w:lang w:val="en-US" w:eastAsia="zh-CN" w:bidi="ar"/>
              </w:rPr>
              <w:t>型摄像机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1、分辨率≥200万像素；2、图像传感器：CMOS；3、变倍：支持 20 倍光学变焦；4、视频输出：支持 1920×1080@30fps；5、其他：具备红外夜视功能、POE供电、防护罩、球机支架等；</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4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硬盘录像机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16 路1080p 格式的视频图像，并支持 1200W 高清网络 视频的接入、存储以及解码显示，并可分别进行预览、回放、配置等操作。</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45"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企业级监控存储盘</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硬盘容量: 8TB；硬盘转速: 7200rpm；缓存容量: 64MB ；尺寸: 3.5 英寸</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42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显示器</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≥22英寸、IPS、2K高清</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39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设备机柜</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网络机柜</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监控立杆</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≥3.5米，地埋式安装，混凝土立杆基础</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根</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6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分控机柜</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监控机柜</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4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交换机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8个10/100/1000Base-T以太网端口,POE交流供电</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6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光纤终端盒</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8口光纤盒（工程电信级）、冷轧钢板表面环氧喷塑、包含电信级尾纤8条及相关配件</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82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光纤收发器</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千兆单模单纤光纤收发器；支持标准：IEEE 802.3、IEEE 802.3u、IEEE 802.3ab、IEEE 802.3z、IEEE 802.3x；接口：1个光纤接口、1个100Mbps/1000Mbps自适应RJ45口</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46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4芯单模光纤</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2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网线</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超五类网线</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配管</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Style w:val="48"/>
                <w:lang w:val="en-US" w:eastAsia="zh-CN" w:bidi="ar"/>
              </w:rPr>
              <w:t>PVC管</w:t>
            </w:r>
            <w:r>
              <w:rPr>
                <w:rFonts w:hint="default" w:ascii="Times New Roman" w:hAnsi="Times New Roman" w:eastAsia="等线" w:cs="Times New Roman"/>
                <w:i w:val="0"/>
                <w:color w:val="000000"/>
                <w:kern w:val="0"/>
                <w:sz w:val="22"/>
                <w:szCs w:val="22"/>
                <w:u w:val="none"/>
                <w:lang w:val="en-US" w:eastAsia="zh-CN" w:bidi="ar"/>
              </w:rPr>
              <w:t>Ø</w:t>
            </w:r>
            <w:r>
              <w:rPr>
                <w:rStyle w:val="48"/>
                <w:lang w:val="en-US" w:eastAsia="zh-CN" w:bidi="ar"/>
              </w:rPr>
              <w:t>20</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59"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运营费用</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运营费用</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配备不低于6人运营团队及相应办公设备，保证项目正常运营。</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项</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59"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7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小       计</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65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电商公共服务体系建设</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乡镇电商服务站建设</w:t>
            </w: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场地改造</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招牌</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12米*1.4米铝扣板+pvc字。（6个乡镇管理区）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背景墙</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制作电商服务站背景墙（6个乡镇管理区）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快递包装回收箱</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可具备两种材质的快递包装回收功能，容积不低于0.5m³。</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制度建设</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制作乡镇管理区管理、服务范围等制度牌。（6个乡镇管理区）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监控设备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监控设备</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建设可以连接区级公共服务中心的监控设备，画面不低于2个，视频输出支持720P及以上。（6个乡镇管理区）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智能设备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PDA</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可以自动识别电商面单信息的入库PDA，且已安装快递公司软件。（6个乡镇管理区）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高扫出库仪</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自动出库人脸识别器，出库人脸识别器要求600W及以上彩色镜头，要求配置与使用功能相符的电脑。（6个乡镇管理区）</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59"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617"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小      计</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b/>
                <w:i w:val="0"/>
                <w:color w:val="000000"/>
                <w:sz w:val="24"/>
                <w:szCs w:val="24"/>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p>
        </w:tc>
      </w:tr>
      <w:tr>
        <w:tblPrEx>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村级电商服务站点建设</w:t>
            </w: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办公室设备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电脑</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处理器</w:t>
            </w:r>
            <w:r>
              <w:rPr>
                <w:rFonts w:hint="default" w:ascii="等线" w:hAnsi="等线" w:eastAsia="等线" w:cs="等线"/>
                <w:i w:val="0"/>
                <w:color w:val="000000"/>
                <w:kern w:val="0"/>
                <w:sz w:val="22"/>
                <w:szCs w:val="22"/>
                <w:u w:val="none"/>
                <w:lang w:val="en-US" w:eastAsia="zh-CN" w:bidi="ar"/>
              </w:rPr>
              <w:t>I3</w:t>
            </w:r>
            <w:r>
              <w:rPr>
                <w:rFonts w:hint="eastAsia" w:ascii="等线" w:hAnsi="等线" w:eastAsia="等线" w:cs="等线"/>
                <w:i w:val="0"/>
                <w:color w:val="000000"/>
                <w:kern w:val="0"/>
                <w:sz w:val="22"/>
                <w:szCs w:val="22"/>
                <w:u w:val="none"/>
                <w:lang w:val="en-US" w:eastAsia="zh-CN" w:bidi="ar"/>
              </w:rPr>
              <w:t>及以上</w:t>
            </w:r>
            <w:r>
              <w:rPr>
                <w:rFonts w:hint="default" w:ascii="等线" w:hAnsi="等线" w:eastAsia="等线" w:cs="等线"/>
                <w:i w:val="0"/>
                <w:color w:val="000000"/>
                <w:kern w:val="0"/>
                <w:sz w:val="22"/>
                <w:szCs w:val="22"/>
                <w:u w:val="none"/>
                <w:lang w:val="en-US" w:eastAsia="zh-CN" w:bidi="ar"/>
              </w:rPr>
              <w:t>、内存8G以内、SSD128G以内、机械硬盘1T以内，显示屏22寸以内及鼠标、键盘等配件，1年宽带使用费。</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路由器</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双频千兆，支持2.4GHz/5GHz</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蓝牙打印机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兼容USB、蓝牙，支持主流快递公司一联单、二联单电子面打印。</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425"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招牌</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 米*1.2 米铝扣板+pvc字。</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制度牌</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建设全新村级末端网点电商管理、服务范围等制度牌。（80个村、社区电商服务站）</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455"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背景墙</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制作电商服务站背景墙。</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41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快递货架</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长1.2M*宽0.5M*高1.8M及以上尺寸快递货架，共5层。</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90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监控设备</w:t>
            </w: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录像机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 路1080p 格式的视频图像，支持高清网络视频的接入、存储以及解码显示，可分别进行预览、回放、配置等操作，并将实时画面连接至区级电商公共服务中心。</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860"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高清球</w:t>
            </w:r>
            <w:r>
              <w:rPr>
                <w:rFonts w:hint="default" w:ascii="等线" w:hAnsi="等线" w:eastAsia="等线" w:cs="等线"/>
                <w:i w:val="0"/>
                <w:color w:val="000000"/>
                <w:kern w:val="0"/>
                <w:sz w:val="22"/>
                <w:szCs w:val="22"/>
                <w:u w:val="none"/>
                <w:lang w:val="en-US" w:eastAsia="zh-CN" w:bidi="ar"/>
              </w:rPr>
              <w:br w:type="textWrapping"/>
            </w:r>
            <w:r>
              <w:rPr>
                <w:rFonts w:hint="default" w:ascii="等线" w:hAnsi="等线" w:eastAsia="等线" w:cs="等线"/>
                <w:i w:val="0"/>
                <w:color w:val="000000"/>
                <w:kern w:val="0"/>
                <w:sz w:val="22"/>
                <w:szCs w:val="22"/>
                <w:u w:val="none"/>
                <w:lang w:val="en-US" w:eastAsia="zh-CN" w:bidi="ar"/>
              </w:rPr>
              <w:t>型摄像机</w:t>
            </w:r>
          </w:p>
        </w:tc>
        <w:tc>
          <w:tcPr>
            <w:tcW w:w="73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1、分辨率≥200万像素；2、图像传感器：CMOS；3、变倍：支持 20 倍光学变焦；4、视频输出：720P及以上；5、其他：具备红外夜视功能、防护罩、球机支架等；</w:t>
            </w:r>
          </w:p>
        </w:tc>
        <w:tc>
          <w:tcPr>
            <w:tcW w:w="5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59" w:hRule="atLeast"/>
        </w:trPr>
        <w:tc>
          <w:tcPr>
            <w:tcW w:w="510"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5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0617" w:type="dxa"/>
            <w:gridSpan w:val="5"/>
            <w:tcBorders>
              <w:top w:val="single" w:color="000000" w:sz="4" w:space="0"/>
              <w:left w:val="nil"/>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小      计</w:t>
            </w: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b/>
                <w:i w:val="0"/>
                <w:color w:val="000000"/>
                <w:sz w:val="22"/>
                <w:szCs w:val="22"/>
                <w:u w:val="none"/>
              </w:rPr>
            </w:pPr>
          </w:p>
        </w:tc>
        <w:tc>
          <w:tcPr>
            <w:tcW w:w="7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p>
        </w:tc>
      </w:tr>
      <w:tr>
        <w:tblPrEx>
          <w:tblCellMar>
            <w:top w:w="0" w:type="dxa"/>
            <w:left w:w="0" w:type="dxa"/>
            <w:bottom w:w="0" w:type="dxa"/>
            <w:right w:w="0" w:type="dxa"/>
          </w:tblCellMar>
        </w:tblPrEx>
        <w:trPr>
          <w:trHeight w:val="559" w:hRule="atLeast"/>
        </w:trPr>
        <w:tc>
          <w:tcPr>
            <w:tcW w:w="51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272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 xml:space="preserve">       合      计</w:t>
            </w:r>
          </w:p>
        </w:tc>
        <w:tc>
          <w:tcPr>
            <w:tcW w:w="75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p>
        </w:tc>
      </w:tr>
    </w:tbl>
    <w:p>
      <w:pPr>
        <w:rPr>
          <w:rFonts w:hint="default"/>
          <w:lang w:val="en-US" w:eastAsia="zh-CN"/>
        </w:rPr>
      </w:pPr>
      <w:r>
        <w:rPr>
          <w:rFonts w:hint="default"/>
          <w:lang w:val="en-US" w:eastAsia="zh-CN"/>
        </w:rPr>
        <w:br w:type="page"/>
      </w:r>
    </w:p>
    <w:p>
      <w:pPr>
        <w:rPr>
          <w:rFonts w:hint="default"/>
          <w:lang w:val="en-US" w:eastAsia="zh-CN"/>
        </w:rPr>
      </w:pPr>
    </w:p>
    <w:tbl>
      <w:tblPr>
        <w:tblStyle w:val="23"/>
        <w:tblW w:w="13988" w:type="dxa"/>
        <w:tblInd w:w="0" w:type="dxa"/>
        <w:shd w:val="clear" w:color="auto" w:fill="auto"/>
        <w:tblLayout w:type="fixed"/>
        <w:tblCellMar>
          <w:top w:w="0" w:type="dxa"/>
          <w:left w:w="0" w:type="dxa"/>
          <w:bottom w:w="0" w:type="dxa"/>
          <w:right w:w="0" w:type="dxa"/>
        </w:tblCellMar>
      </w:tblPr>
      <w:tblGrid>
        <w:gridCol w:w="1339"/>
        <w:gridCol w:w="1721"/>
        <w:gridCol w:w="3430"/>
        <w:gridCol w:w="1385"/>
        <w:gridCol w:w="1525"/>
        <w:gridCol w:w="1525"/>
        <w:gridCol w:w="1530"/>
        <w:gridCol w:w="1533"/>
      </w:tblGrid>
      <w:tr>
        <w:tblPrEx>
          <w:shd w:val="clear" w:color="auto" w:fill="auto"/>
          <w:tblCellMar>
            <w:top w:w="0" w:type="dxa"/>
            <w:left w:w="0" w:type="dxa"/>
            <w:bottom w:w="0" w:type="dxa"/>
            <w:right w:w="0" w:type="dxa"/>
          </w:tblCellMar>
        </w:tblPrEx>
        <w:trPr>
          <w:trHeight w:val="840" w:hRule="atLeast"/>
        </w:trPr>
        <w:tc>
          <w:tcPr>
            <w:tcW w:w="13988" w:type="dxa"/>
            <w:gridSpan w:val="8"/>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等线" w:hAnsi="等线" w:eastAsia="等线" w:cs="等线"/>
                <w:b/>
                <w:i w:val="0"/>
                <w:color w:val="222222"/>
                <w:sz w:val="36"/>
                <w:szCs w:val="36"/>
                <w:u w:val="none"/>
              </w:rPr>
            </w:pPr>
            <w:r>
              <w:rPr>
                <w:rFonts w:hint="eastAsia" w:ascii="等线" w:hAnsi="等线" w:eastAsia="等线" w:cs="等线"/>
                <w:b/>
                <w:i w:val="0"/>
                <w:color w:val="222222"/>
                <w:kern w:val="0"/>
                <w:sz w:val="36"/>
                <w:szCs w:val="36"/>
                <w:u w:val="none"/>
                <w:lang w:val="en-US" w:eastAsia="zh-CN" w:bidi="ar"/>
              </w:rPr>
              <w:t>2</w:t>
            </w:r>
            <w:r>
              <w:rPr>
                <w:rFonts w:hint="default" w:ascii="等线" w:hAnsi="等线" w:eastAsia="等线" w:cs="等线"/>
                <w:b/>
                <w:i w:val="0"/>
                <w:color w:val="222222"/>
                <w:kern w:val="0"/>
                <w:sz w:val="36"/>
                <w:szCs w:val="36"/>
                <w:u w:val="none"/>
                <w:lang w:val="en-US" w:eastAsia="zh-CN" w:bidi="ar"/>
              </w:rPr>
              <w:t xml:space="preserve"> 电商培训资金明细表</w:t>
            </w:r>
          </w:p>
        </w:tc>
      </w:tr>
      <w:tr>
        <w:tblPrEx>
          <w:shd w:val="clear" w:color="auto" w:fill="auto"/>
          <w:tblCellMar>
            <w:top w:w="0" w:type="dxa"/>
            <w:left w:w="0" w:type="dxa"/>
            <w:bottom w:w="0" w:type="dxa"/>
            <w:right w:w="0" w:type="dxa"/>
          </w:tblCellMar>
        </w:tblPrEx>
        <w:trPr>
          <w:trHeight w:val="600" w:hRule="atLeast"/>
        </w:trPr>
        <w:tc>
          <w:tcPr>
            <w:tcW w:w="1398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firstLineChars="300"/>
              <w:jc w:val="both"/>
              <w:textAlignment w:val="top"/>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 xml:space="preserve">一 、培训设备物资预算   </w:t>
            </w:r>
          </w:p>
        </w:tc>
      </w:tr>
      <w:tr>
        <w:tblPrEx>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序号</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设备名称</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要   求</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数量</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单位</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单 价（元）</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价 格（元）</w:t>
            </w:r>
          </w:p>
        </w:tc>
      </w:tr>
      <w:tr>
        <w:tblPrEx>
          <w:tblCellMar>
            <w:top w:w="0" w:type="dxa"/>
            <w:left w:w="0" w:type="dxa"/>
            <w:bottom w:w="0" w:type="dxa"/>
            <w:right w:w="0" w:type="dxa"/>
          </w:tblCellMar>
        </w:tblPrEx>
        <w:trPr>
          <w:trHeight w:val="12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照相机</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CMOS图像传感器、有效像素2000万以上、APC-S画幅以上、ISO100-40000、光学防抖、配备变焦镜头、镜头罩、电池及存储卡等</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6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笔记本电脑</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酷睿I3、4G 内存、机械硬盘1T，显示屏14寸以内</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宣传物料</w:t>
            </w:r>
          </w:p>
        </w:tc>
        <w:tc>
          <w:tcPr>
            <w:tcW w:w="48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含培训标识标牌、笔纸、宣传册等</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一</w:t>
            </w:r>
          </w:p>
        </w:tc>
        <w:tc>
          <w:tcPr>
            <w:tcW w:w="1111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 xml:space="preserve">小   计     </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1398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ind w:firstLineChars="300"/>
              <w:jc w:val="both"/>
              <w:textAlignment w:val="top"/>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二 、培训电商人员场地租金、交通、及会务费用</w:t>
            </w:r>
          </w:p>
        </w:tc>
      </w:tr>
      <w:tr>
        <w:tblPrEx>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序号</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培训期</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FF0000"/>
                <w:sz w:val="22"/>
                <w:szCs w:val="22"/>
                <w:u w:val="none"/>
              </w:rPr>
            </w:pPr>
            <w:r>
              <w:rPr>
                <w:rFonts w:hint="default" w:ascii="等线" w:hAnsi="等线" w:eastAsia="等线" w:cs="等线"/>
                <w:b/>
                <w:i w:val="0"/>
                <w:color w:val="FF0000"/>
                <w:kern w:val="0"/>
                <w:sz w:val="22"/>
                <w:szCs w:val="22"/>
                <w:u w:val="none"/>
                <w:lang w:val="en-US" w:eastAsia="zh-CN" w:bidi="ar"/>
              </w:rPr>
              <w:t>培训时间</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人数/期</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期数</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天数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人均费用（元）</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合 计（元）</w:t>
            </w:r>
          </w:p>
        </w:tc>
      </w:tr>
      <w:tr>
        <w:tblPrEx>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sz w:val="22"/>
                <w:szCs w:val="22"/>
                <w:u w:val="none"/>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300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2～4</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sz w:val="22"/>
                <w:szCs w:val="22"/>
                <w:u w:val="none"/>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5～6</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sz w:val="22"/>
                <w:szCs w:val="22"/>
                <w:u w:val="none"/>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月</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7～8</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sz w:val="22"/>
                <w:szCs w:val="22"/>
                <w:u w:val="none"/>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月</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9～14</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sz w:val="22"/>
                <w:szCs w:val="22"/>
                <w:u w:val="none"/>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7</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15～16</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17～28</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12</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9</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29～30</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月</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31～33</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月</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11</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34～44</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11</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12</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45～56</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月</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12</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13</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57～60</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月</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14</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61～76</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kern w:val="2"/>
                <w:sz w:val="22"/>
                <w:szCs w:val="22"/>
                <w:u w:val="none"/>
                <w:lang w:val="en-US" w:eastAsia="zh-CN" w:bidi="ar-SA"/>
              </w:rPr>
            </w:pP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16</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15</w:t>
            </w:r>
          </w:p>
        </w:tc>
        <w:tc>
          <w:tcPr>
            <w:tcW w:w="1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77～86</w:t>
            </w:r>
          </w:p>
        </w:tc>
        <w:tc>
          <w:tcPr>
            <w:tcW w:w="3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FF0000"/>
                <w:sz w:val="22"/>
                <w:szCs w:val="22"/>
                <w:u w:val="none"/>
              </w:rPr>
            </w:pP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年</w:t>
            </w:r>
            <w:r>
              <w:rPr>
                <w:rFonts w:hint="eastAsia" w:ascii="等线" w:hAnsi="等线" w:eastAsia="等线" w:cs="等线"/>
                <w:i w:val="0"/>
                <w:color w:val="FF0000"/>
                <w:kern w:val="0"/>
                <w:sz w:val="22"/>
                <w:szCs w:val="22"/>
                <w:u w:val="none"/>
                <w:lang w:val="en-US" w:eastAsia="zh-CN" w:bidi="ar"/>
              </w:rPr>
              <w:t xml:space="preserve">  </w:t>
            </w:r>
            <w:r>
              <w:rPr>
                <w:rFonts w:hint="default" w:ascii="等线" w:hAnsi="等线" w:eastAsia="等线" w:cs="等线"/>
                <w:i w:val="0"/>
                <w:color w:val="FF0000"/>
                <w:kern w:val="0"/>
                <w:sz w:val="22"/>
                <w:szCs w:val="22"/>
                <w:u w:val="none"/>
                <w:lang w:val="en-US" w:eastAsia="zh-CN" w:bidi="ar"/>
              </w:rPr>
              <w:t xml:space="preserve">月  </w:t>
            </w:r>
          </w:p>
        </w:tc>
        <w:tc>
          <w:tcPr>
            <w:tcW w:w="1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60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c>
          <w:tcPr>
            <w:tcW w:w="1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二</w:t>
            </w:r>
          </w:p>
        </w:tc>
        <w:tc>
          <w:tcPr>
            <w:tcW w:w="1111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小   计</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13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三</w:t>
            </w:r>
          </w:p>
        </w:tc>
        <w:tc>
          <w:tcPr>
            <w:tcW w:w="11116"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合   计</w:t>
            </w:r>
          </w:p>
        </w:tc>
        <w:tc>
          <w:tcPr>
            <w:tcW w:w="15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p>
        </w:tc>
      </w:tr>
    </w:tbl>
    <w:p>
      <w:pPr>
        <w:rPr>
          <w:rFonts w:hint="default" w:ascii="仿宋_GB2312" w:hAnsi="仿宋_GB2312" w:eastAsia="仿宋_GB2312" w:cs="仿宋_GB2312"/>
          <w:color w:val="auto"/>
          <w:kern w:val="2"/>
          <w:sz w:val="32"/>
          <w:szCs w:val="32"/>
          <w:lang w:val="en-US" w:eastAsia="zh-CN" w:bidi="ar-SA"/>
        </w:rPr>
      </w:pPr>
      <w:r>
        <w:rPr>
          <w:rFonts w:hint="default" w:ascii="仿宋_GB2312" w:hAnsi="仿宋_GB2312" w:eastAsia="仿宋_GB2312" w:cs="仿宋_GB2312"/>
          <w:color w:val="auto"/>
          <w:kern w:val="2"/>
          <w:sz w:val="32"/>
          <w:szCs w:val="32"/>
          <w:lang w:val="en-US" w:eastAsia="zh-CN" w:bidi="ar-SA"/>
        </w:rPr>
        <w:br w:type="page"/>
      </w:r>
    </w:p>
    <w:tbl>
      <w:tblPr>
        <w:tblStyle w:val="23"/>
        <w:tblW w:w="13988" w:type="dxa"/>
        <w:tblInd w:w="0" w:type="dxa"/>
        <w:shd w:val="clear" w:color="auto" w:fill="auto"/>
        <w:tblLayout w:type="fixed"/>
        <w:tblCellMar>
          <w:top w:w="0" w:type="dxa"/>
          <w:left w:w="0" w:type="dxa"/>
          <w:bottom w:w="0" w:type="dxa"/>
          <w:right w:w="0" w:type="dxa"/>
        </w:tblCellMar>
      </w:tblPr>
      <w:tblGrid>
        <w:gridCol w:w="512"/>
        <w:gridCol w:w="613"/>
        <w:gridCol w:w="708"/>
        <w:gridCol w:w="915"/>
        <w:gridCol w:w="1368"/>
        <w:gridCol w:w="6588"/>
        <w:gridCol w:w="702"/>
        <w:gridCol w:w="708"/>
        <w:gridCol w:w="920"/>
        <w:gridCol w:w="954"/>
      </w:tblGrid>
      <w:tr>
        <w:tblPrEx>
          <w:tblCellMar>
            <w:top w:w="0" w:type="dxa"/>
            <w:left w:w="0" w:type="dxa"/>
            <w:bottom w:w="0" w:type="dxa"/>
            <w:right w:w="0" w:type="dxa"/>
          </w:tblCellMar>
        </w:tblPrEx>
        <w:trPr>
          <w:trHeight w:val="720" w:hRule="atLeast"/>
        </w:trPr>
        <w:tc>
          <w:tcPr>
            <w:tcW w:w="13988" w:type="dxa"/>
            <w:gridSpan w:val="10"/>
            <w:tcBorders>
              <w:top w:val="nil"/>
              <w:left w:val="nil"/>
              <w:bottom w:val="single" w:color="auto" w:sz="4" w:space="0"/>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等线" w:hAnsi="等线" w:eastAsia="等线" w:cs="等线"/>
                <w:b/>
                <w:i w:val="0"/>
                <w:color w:val="000000"/>
                <w:sz w:val="36"/>
                <w:szCs w:val="36"/>
                <w:u w:val="none"/>
              </w:rPr>
            </w:pPr>
            <w:r>
              <w:rPr>
                <w:rFonts w:hint="eastAsia" w:ascii="等线" w:hAnsi="等线" w:eastAsia="等线" w:cs="等线"/>
                <w:b/>
                <w:i w:val="0"/>
                <w:color w:val="000000"/>
                <w:kern w:val="0"/>
                <w:sz w:val="36"/>
                <w:szCs w:val="36"/>
                <w:u w:val="none"/>
                <w:lang w:val="en-US" w:eastAsia="zh-CN" w:bidi="ar"/>
              </w:rPr>
              <w:t>3</w:t>
            </w:r>
            <w:r>
              <w:rPr>
                <w:rFonts w:hint="default" w:ascii="等线" w:hAnsi="等线" w:eastAsia="等线" w:cs="等线"/>
                <w:b/>
                <w:i w:val="0"/>
                <w:color w:val="000000"/>
                <w:kern w:val="0"/>
                <w:sz w:val="36"/>
                <w:szCs w:val="36"/>
                <w:u w:val="none"/>
                <w:lang w:val="en-US" w:eastAsia="zh-CN" w:bidi="ar"/>
              </w:rPr>
              <w:t xml:space="preserve"> 区、镇、村三级物流配套体系建设明细表</w:t>
            </w:r>
          </w:p>
        </w:tc>
      </w:tr>
      <w:tr>
        <w:tblPrEx>
          <w:tblCellMar>
            <w:top w:w="0" w:type="dxa"/>
            <w:left w:w="0" w:type="dxa"/>
            <w:bottom w:w="0" w:type="dxa"/>
            <w:right w:w="0" w:type="dxa"/>
          </w:tblCellMar>
        </w:tblPrEx>
        <w:trPr>
          <w:trHeight w:val="720" w:hRule="atLeast"/>
        </w:trPr>
        <w:tc>
          <w:tcPr>
            <w:tcW w:w="51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序号</w:t>
            </w:r>
          </w:p>
        </w:tc>
        <w:tc>
          <w:tcPr>
            <w:tcW w:w="61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项目大类</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项目</w:t>
            </w:r>
          </w:p>
        </w:tc>
        <w:tc>
          <w:tcPr>
            <w:tcW w:w="9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内容</w:t>
            </w: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子项目</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标          准</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单位</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数量</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单 价（</w:t>
            </w:r>
            <w:r>
              <w:rPr>
                <w:rFonts w:hint="default" w:ascii="等线" w:hAnsi="等线" w:eastAsia="等线" w:cs="等线"/>
                <w:i w:val="0"/>
                <w:color w:val="000000"/>
                <w:kern w:val="0"/>
                <w:sz w:val="22"/>
                <w:szCs w:val="22"/>
                <w:u w:val="none"/>
                <w:lang w:val="en-US" w:eastAsia="zh-CN" w:bidi="ar"/>
              </w:rPr>
              <w:t>元</w:t>
            </w:r>
            <w:r>
              <w:rPr>
                <w:rFonts w:hint="default" w:ascii="等线" w:hAnsi="等线" w:eastAsia="等线" w:cs="等线"/>
                <w:i w:val="0"/>
                <w:color w:val="000000"/>
                <w:kern w:val="0"/>
                <w:sz w:val="24"/>
                <w:szCs w:val="24"/>
                <w:u w:val="none"/>
                <w:lang w:val="en-US" w:eastAsia="zh-CN" w:bidi="ar"/>
              </w:rPr>
              <w:t>）</w:t>
            </w: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4"/>
                <w:szCs w:val="24"/>
                <w:u w:val="none"/>
              </w:rPr>
            </w:pPr>
            <w:r>
              <w:rPr>
                <w:rFonts w:hint="default" w:ascii="等线" w:hAnsi="等线" w:eastAsia="等线" w:cs="等线"/>
                <w:i w:val="0"/>
                <w:color w:val="000000"/>
                <w:kern w:val="0"/>
                <w:sz w:val="24"/>
                <w:szCs w:val="24"/>
                <w:u w:val="none"/>
                <w:lang w:val="en-US" w:eastAsia="zh-CN" w:bidi="ar"/>
              </w:rPr>
              <w:t>小 计（</w:t>
            </w:r>
            <w:r>
              <w:rPr>
                <w:rFonts w:hint="default" w:ascii="等线" w:hAnsi="等线" w:eastAsia="等线" w:cs="等线"/>
                <w:i w:val="0"/>
                <w:color w:val="000000"/>
                <w:kern w:val="0"/>
                <w:sz w:val="22"/>
                <w:szCs w:val="22"/>
                <w:u w:val="none"/>
                <w:lang w:val="en-US" w:eastAsia="zh-CN" w:bidi="ar"/>
              </w:rPr>
              <w:t>元</w:t>
            </w:r>
            <w:r>
              <w:rPr>
                <w:rFonts w:hint="default" w:ascii="等线" w:hAnsi="等线" w:eastAsia="等线" w:cs="等线"/>
                <w:i w:val="0"/>
                <w:color w:val="000000"/>
                <w:kern w:val="0"/>
                <w:sz w:val="24"/>
                <w:szCs w:val="24"/>
                <w:u w:val="none"/>
                <w:lang w:val="en-US" w:eastAsia="zh-CN" w:bidi="ar"/>
              </w:rPr>
              <w:t>）</w:t>
            </w:r>
          </w:p>
        </w:tc>
      </w:tr>
      <w:tr>
        <w:tblPrEx>
          <w:shd w:val="clear" w:color="auto" w:fill="auto"/>
          <w:tblCellMar>
            <w:top w:w="0" w:type="dxa"/>
            <w:left w:w="0" w:type="dxa"/>
            <w:bottom w:w="0" w:type="dxa"/>
            <w:right w:w="0" w:type="dxa"/>
          </w:tblCellMar>
        </w:tblPrEx>
        <w:trPr>
          <w:trHeight w:val="900" w:hRule="atLeast"/>
        </w:trPr>
        <w:tc>
          <w:tcPr>
            <w:tcW w:w="5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区、镇、村三级物流配送体系建设</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区级电商物流配送中心建设</w:t>
            </w: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场地改造</w:t>
            </w: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房租、改建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区级物流中心房屋租赁费；对中心区域进行改造，使其符合物流中心功能需求，如招牌，指引牌，制度牌，地标指引系统、宣传氛围打造等</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项</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76"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配电箱</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强电配电箱</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76"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电线</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BV-2.5</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2000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76"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电线</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BV-4</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2000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76"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配管</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PVC管</w:t>
            </w:r>
            <w:r>
              <w:rPr>
                <w:rFonts w:hint="default" w:ascii="Times New Roman" w:hAnsi="Times New Roman" w:eastAsia="等线" w:cs="Times New Roman"/>
                <w:i w:val="0"/>
                <w:color w:val="000000"/>
                <w:kern w:val="0"/>
                <w:sz w:val="22"/>
                <w:szCs w:val="22"/>
                <w:u w:val="none"/>
                <w:lang w:val="en-US" w:eastAsia="zh-CN" w:bidi="ar"/>
              </w:rPr>
              <w:t>Ø</w:t>
            </w:r>
            <w:r>
              <w:rPr>
                <w:rFonts w:hint="default" w:ascii="等线" w:hAnsi="等线" w:eastAsia="等线" w:cs="等线"/>
                <w:i w:val="0"/>
                <w:color w:val="000000"/>
                <w:kern w:val="0"/>
                <w:sz w:val="22"/>
                <w:szCs w:val="22"/>
                <w:u w:val="none"/>
                <w:lang w:val="en-US" w:eastAsia="zh-CN" w:bidi="ar"/>
              </w:rPr>
              <w:t>25</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76"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交换机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48个10/100/1000Base-T以太网端口,POE交流供电</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96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光纤终端盒</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8口光纤盒（工程电信级）、冷轧钢板表面环氧喷塑、包含电信级尾纤8条及相关配件</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96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光纤收发器</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千兆单模单纤光纤收发器；支持标准：IEEE 802.3、IEEE 802.3u、IEEE 802.3ab、IEEE 802.3z、IEEE 802.3x；接口：1个光纤接口、1个100Mbps/1000Mbps自适应RJ45口</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86"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网线</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超五类网线</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74"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配管</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PVC管</w:t>
            </w:r>
            <w:r>
              <w:rPr>
                <w:rFonts w:hint="default" w:ascii="Times New Roman" w:hAnsi="Times New Roman" w:eastAsia="等线" w:cs="Times New Roman"/>
                <w:i w:val="0"/>
                <w:color w:val="000000"/>
                <w:kern w:val="0"/>
                <w:sz w:val="22"/>
                <w:szCs w:val="22"/>
                <w:u w:val="none"/>
                <w:lang w:val="en-US" w:eastAsia="zh-CN" w:bidi="ar"/>
              </w:rPr>
              <w:t>Ø</w:t>
            </w:r>
            <w:r>
              <w:rPr>
                <w:rFonts w:hint="default" w:ascii="等线" w:hAnsi="等线" w:eastAsia="等线" w:cs="等线"/>
                <w:i w:val="0"/>
                <w:color w:val="000000"/>
                <w:kern w:val="0"/>
                <w:sz w:val="22"/>
                <w:szCs w:val="22"/>
                <w:u w:val="none"/>
                <w:lang w:val="en-US" w:eastAsia="zh-CN" w:bidi="ar"/>
              </w:rPr>
              <w:t>20</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物流分拣平台</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建设半自动流水线分拣平台。平台接入入港操作口不低于4个，可配置电子面单自动扫描仪工作，出口应满足城区和乡镇分拣需求。</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物流设备</w:t>
            </w: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自动伸缩机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满足6米及以上伸缩长度，流水线宽度不低于1M。</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手动伸缩机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满足4米及以上伸缩长度，流水线宽度不低于1M。</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分拣平台流水线</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满足分拣平台进出口接驳使用，流水线宽度不低于1M。</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米</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流水线</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建设不低于100米的流水线，干线流水线宽度不低于1M，支线流水线宽度不低于0.8M。</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安检机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配置符合主管部门技术要求的快递物流专用安检设备</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地垫</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配置符合主管部门要求的快递物流专地垫</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平方</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300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村级分拣框</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配置村级电商物流站点分拣框，单个分拣框宽度、深度各不低于80CM，可移动。</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村级分拣袋</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配置村级电商物流站点分拣袋，要求耐磨，可循环使用。</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320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940" w:hRule="atLeast"/>
        </w:trPr>
        <w:tc>
          <w:tcPr>
            <w:tcW w:w="51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监控设备</w:t>
            </w: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高清摄像机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1、分辨率≥200万像素；2、图像传感器：CMOS；3、变倍：支持 20 倍光学变焦；4、视频输出：支持 1920×1080@25fps；5、其他：具备红外夜视功能、POE供电、防护罩、球机支架等；</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96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硬盘录像机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16 路1080p 格式的视频图像，并支持 1200W 高清网络 视频的接入、存储以及解码显示，并可分别进行预览、回放、配置等操作。</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企业级监控存储盘</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硬盘容量: 8TB；硬盘转速: 7200rpm；缓存容量: 64MB ；尺寸: 3.5 英寸</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显示器</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≥22英寸、IPS、2K高清</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设备机柜</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网络机柜</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4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监控立杆</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≥3.5米，地埋式安装，混凝土立杆基础</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根</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80</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4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分控机柜</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监控机柜</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8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交换机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48个10/100/1000Base-T以太网端口,POE交流供电</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8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交换机</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16个10/100/1000Base-T以太网端口,POE交流供电</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700" w:hRule="atLeast"/>
        </w:trPr>
        <w:tc>
          <w:tcPr>
            <w:tcW w:w="512"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光纤终端盒</w:t>
            </w:r>
          </w:p>
        </w:tc>
        <w:tc>
          <w:tcPr>
            <w:tcW w:w="658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8口光纤盒（工程电信级）、冷轧钢板表面环氧喷塑、包含电信级尾纤8条及相关配件</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860" w:hRule="atLeast"/>
        </w:trPr>
        <w:tc>
          <w:tcPr>
            <w:tcW w:w="512" w:type="dxa"/>
            <w:vMerge w:val="continue"/>
            <w:tcBorders>
              <w:top w:val="single" w:color="auto"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光纤收发器</w:t>
            </w:r>
          </w:p>
        </w:tc>
        <w:tc>
          <w:tcPr>
            <w:tcW w:w="658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千兆单模单纤光纤收发器；支持标准：IEEE 802.3、IEEE 802.3u、IEEE 802.3ab、IEEE 802.3z、IEEE 802.3x；接口：1个光纤接口、1个100Mbps/1000Mbps自适应RJ45口</w:t>
            </w:r>
          </w:p>
        </w:tc>
        <w:tc>
          <w:tcPr>
            <w:tcW w:w="7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92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8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光纤</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4芯单模光纤</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4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网线</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超五类网线</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8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配管</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PVC管</w:t>
            </w:r>
            <w:r>
              <w:rPr>
                <w:rFonts w:hint="default" w:ascii="Times New Roman" w:hAnsi="Times New Roman" w:eastAsia="等线" w:cs="Times New Roman"/>
                <w:i w:val="0"/>
                <w:color w:val="000000"/>
                <w:kern w:val="0"/>
                <w:sz w:val="22"/>
                <w:szCs w:val="22"/>
                <w:u w:val="none"/>
                <w:lang w:val="en-US" w:eastAsia="zh-CN" w:bidi="ar"/>
              </w:rPr>
              <w:t>Ø</w:t>
            </w:r>
            <w:r>
              <w:rPr>
                <w:rFonts w:hint="default" w:ascii="等线" w:hAnsi="等线" w:eastAsia="等线" w:cs="等线"/>
                <w:i w:val="0"/>
                <w:color w:val="000000"/>
                <w:kern w:val="0"/>
                <w:sz w:val="22"/>
                <w:szCs w:val="22"/>
                <w:u w:val="none"/>
                <w:lang w:val="en-US" w:eastAsia="zh-CN" w:bidi="ar"/>
              </w:rPr>
              <w:t>20</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m</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1000</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办公设备</w:t>
            </w: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农村物流电脑</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英特尔G5400或同级处理器、8G 内存以内、固态硬盘128G以内、机械硬盘1T以内，显示屏22寸以内及鼠标、键盘等配件。</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台</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扫描器</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支持识别一维、二维码的条码扫描器</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个</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9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信息建设</w:t>
            </w: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农村物流信息管理平台</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支持农村物流信息管理功能，具备订单录入，打印，查询等功能</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套</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vMerge w:val="continue"/>
            <w:tcBorders>
              <w:top w:val="single" w:color="000000" w:sz="4" w:space="0"/>
              <w:left w:val="single" w:color="auto"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11201"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小     计</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p>
        </w:tc>
      </w:tr>
      <w:tr>
        <w:tblPrEx>
          <w:shd w:val="clear" w:color="auto" w:fill="auto"/>
          <w:tblCellMar>
            <w:top w:w="0" w:type="dxa"/>
            <w:left w:w="0" w:type="dxa"/>
            <w:bottom w:w="0" w:type="dxa"/>
            <w:right w:w="0" w:type="dxa"/>
          </w:tblCellMar>
        </w:tblPrEx>
        <w:trPr>
          <w:trHeight w:val="900" w:hRule="atLeast"/>
        </w:trPr>
        <w:tc>
          <w:tcPr>
            <w:tcW w:w="512"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61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区、镇、村三级物流配送体系建设</w:t>
            </w:r>
          </w:p>
        </w:tc>
        <w:tc>
          <w:tcPr>
            <w:tcW w:w="70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区、镇、村三级物流运行</w:t>
            </w:r>
          </w:p>
        </w:tc>
        <w:tc>
          <w:tcPr>
            <w:tcW w:w="91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线路</w:t>
            </w:r>
          </w:p>
        </w:tc>
        <w:tc>
          <w:tcPr>
            <w:tcW w:w="13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补贴</w:t>
            </w:r>
          </w:p>
        </w:tc>
        <w:tc>
          <w:tcPr>
            <w:tcW w:w="6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要求进村快递品牌不低于5家，进村站点不低于80家，站点每天完成100单以上按50元/站/天进行路线补贴，每天运营车辆或线路不低于6条。</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项</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740" w:hRule="atLeast"/>
        </w:trPr>
        <w:tc>
          <w:tcPr>
            <w:tcW w:w="512"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61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0"/>
                <w:szCs w:val="20"/>
                <w:u w:val="none"/>
              </w:rPr>
            </w:pPr>
          </w:p>
        </w:tc>
        <w:tc>
          <w:tcPr>
            <w:tcW w:w="7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0"/>
                <w:szCs w:val="20"/>
                <w:u w:val="none"/>
              </w:rPr>
            </w:pPr>
          </w:p>
        </w:tc>
        <w:tc>
          <w:tcPr>
            <w:tcW w:w="11201"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小     计</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p>
        </w:tc>
      </w:tr>
      <w:tr>
        <w:tblPrEx>
          <w:tblCellMar>
            <w:top w:w="0" w:type="dxa"/>
            <w:left w:w="0" w:type="dxa"/>
            <w:bottom w:w="0" w:type="dxa"/>
            <w:right w:w="0" w:type="dxa"/>
          </w:tblCellMar>
        </w:tblPrEx>
        <w:trPr>
          <w:trHeight w:val="600" w:hRule="atLeast"/>
        </w:trPr>
        <w:tc>
          <w:tcPr>
            <w:tcW w:w="5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12522"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r>
              <w:rPr>
                <w:rFonts w:hint="default" w:ascii="等线" w:hAnsi="等线" w:eastAsia="等线" w:cs="等线"/>
                <w:b/>
                <w:i w:val="0"/>
                <w:color w:val="000000"/>
                <w:kern w:val="0"/>
                <w:sz w:val="24"/>
                <w:szCs w:val="24"/>
                <w:u w:val="none"/>
                <w:lang w:val="en-US" w:eastAsia="zh-CN" w:bidi="ar"/>
              </w:rPr>
              <w:t xml:space="preserve">             合     计</w:t>
            </w:r>
          </w:p>
        </w:tc>
        <w:tc>
          <w:tcPr>
            <w:tcW w:w="95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4"/>
                <w:szCs w:val="24"/>
                <w:u w:val="none"/>
              </w:rPr>
            </w:pPr>
          </w:p>
        </w:tc>
      </w:tr>
    </w:tbl>
    <w:p>
      <w:pPr>
        <w:rPr>
          <w:rFonts w:hint="default"/>
          <w:lang w:val="en-US" w:eastAsia="zh-CN"/>
        </w:rPr>
      </w:pPr>
      <w:r>
        <w:rPr>
          <w:rFonts w:hint="default"/>
          <w:lang w:val="en-US" w:eastAsia="zh-CN"/>
        </w:rPr>
        <w:br w:type="page"/>
      </w:r>
    </w:p>
    <w:tbl>
      <w:tblPr>
        <w:tblStyle w:val="23"/>
        <w:tblW w:w="13988" w:type="dxa"/>
        <w:tblInd w:w="0" w:type="dxa"/>
        <w:shd w:val="clear" w:color="auto" w:fill="auto"/>
        <w:tblLayout w:type="fixed"/>
        <w:tblCellMar>
          <w:top w:w="0" w:type="dxa"/>
          <w:left w:w="0" w:type="dxa"/>
          <w:bottom w:w="0" w:type="dxa"/>
          <w:right w:w="0" w:type="dxa"/>
        </w:tblCellMar>
      </w:tblPr>
      <w:tblGrid>
        <w:gridCol w:w="694"/>
        <w:gridCol w:w="2272"/>
        <w:gridCol w:w="5383"/>
        <w:gridCol w:w="887"/>
        <w:gridCol w:w="881"/>
        <w:gridCol w:w="895"/>
        <w:gridCol w:w="1113"/>
        <w:gridCol w:w="1863"/>
      </w:tblGrid>
      <w:tr>
        <w:tblPrEx>
          <w:shd w:val="clear" w:color="auto" w:fill="auto"/>
          <w:tblCellMar>
            <w:top w:w="0" w:type="dxa"/>
            <w:left w:w="0" w:type="dxa"/>
            <w:bottom w:w="0" w:type="dxa"/>
            <w:right w:w="0" w:type="dxa"/>
          </w:tblCellMar>
        </w:tblPrEx>
        <w:trPr>
          <w:trHeight w:val="755" w:hRule="atLeast"/>
        </w:trPr>
        <w:tc>
          <w:tcPr>
            <w:tcW w:w="13988" w:type="dxa"/>
            <w:gridSpan w:val="8"/>
            <w:tcBorders>
              <w:top w:val="nil"/>
              <w:left w:val="nil"/>
              <w:bottom w:val="nil"/>
              <w:right w:val="nil"/>
            </w:tcBorders>
            <w:shd w:val="clear" w:color="auto" w:fill="auto"/>
            <w:tcMar>
              <w:top w:w="15" w:type="dxa"/>
              <w:left w:w="15" w:type="dxa"/>
              <w:right w:w="15" w:type="dxa"/>
            </w:tcMar>
            <w:vAlign w:val="top"/>
          </w:tcPr>
          <w:p>
            <w:pPr>
              <w:keepNext w:val="0"/>
              <w:keepLines w:val="0"/>
              <w:widowControl/>
              <w:suppressLineNumbers w:val="0"/>
              <w:jc w:val="center"/>
              <w:textAlignment w:val="top"/>
              <w:rPr>
                <w:rFonts w:ascii="等线" w:hAnsi="等线" w:eastAsia="等线" w:cs="等线"/>
                <w:b/>
                <w:i w:val="0"/>
                <w:color w:val="000000"/>
                <w:sz w:val="36"/>
                <w:szCs w:val="36"/>
                <w:u w:val="none"/>
              </w:rPr>
            </w:pPr>
            <w:r>
              <w:rPr>
                <w:rFonts w:hint="eastAsia" w:ascii="等线" w:hAnsi="等线" w:eastAsia="等线" w:cs="等线"/>
                <w:b/>
                <w:i w:val="0"/>
                <w:color w:val="000000"/>
                <w:kern w:val="0"/>
                <w:sz w:val="36"/>
                <w:szCs w:val="36"/>
                <w:u w:val="none"/>
                <w:lang w:val="en-US" w:eastAsia="zh-CN" w:bidi="ar"/>
              </w:rPr>
              <w:t>4</w:t>
            </w:r>
            <w:r>
              <w:rPr>
                <w:rFonts w:hint="default" w:ascii="等线" w:hAnsi="等线" w:eastAsia="等线" w:cs="等线"/>
                <w:b/>
                <w:i w:val="0"/>
                <w:color w:val="000000"/>
                <w:kern w:val="0"/>
                <w:sz w:val="36"/>
                <w:szCs w:val="36"/>
                <w:u w:val="none"/>
                <w:lang w:val="en-US" w:eastAsia="zh-CN" w:bidi="ar"/>
              </w:rPr>
              <w:t xml:space="preserve"> 农产品上行体系建设明细表</w:t>
            </w:r>
          </w:p>
        </w:tc>
      </w:tr>
      <w:tr>
        <w:tblPrEx>
          <w:shd w:val="clear" w:color="auto" w:fill="auto"/>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序号</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项 目 分 类</w:t>
            </w:r>
          </w:p>
        </w:tc>
        <w:tc>
          <w:tcPr>
            <w:tcW w:w="62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项  目  建  设  内  容</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项目实施期限</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预算金额（元）</w:t>
            </w: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备   注</w:t>
            </w:r>
          </w:p>
        </w:tc>
      </w:tr>
      <w:tr>
        <w:tblPrEx>
          <w:shd w:val="clear" w:color="auto" w:fill="auto"/>
          <w:tblCellMar>
            <w:top w:w="0" w:type="dxa"/>
            <w:left w:w="0" w:type="dxa"/>
            <w:bottom w:w="0" w:type="dxa"/>
            <w:right w:w="0" w:type="dxa"/>
          </w:tblCellMar>
        </w:tblPrEx>
        <w:trPr>
          <w:trHeight w:val="12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1</w:t>
            </w:r>
          </w:p>
        </w:tc>
        <w:tc>
          <w:tcPr>
            <w:tcW w:w="22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农村电商经营主体培育</w:t>
            </w:r>
          </w:p>
        </w:tc>
        <w:tc>
          <w:tcPr>
            <w:tcW w:w="627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培育4个电商小镇、20个电商特色村、孵化一批创业网商队伍，引导一批传统企业开展互联转型升级。</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（共15个月）</w:t>
            </w:r>
          </w:p>
        </w:tc>
        <w:tc>
          <w:tcPr>
            <w:tcW w:w="111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auto"/>
                <w:sz w:val="22"/>
                <w:szCs w:val="22"/>
                <w:u w:val="none"/>
              </w:rPr>
            </w:pPr>
            <w:r>
              <w:rPr>
                <w:rFonts w:hint="default" w:ascii="等线" w:hAnsi="等线" w:eastAsia="等线" w:cs="等线"/>
                <w:i w:val="0"/>
                <w:color w:val="auto"/>
                <w:kern w:val="0"/>
                <w:sz w:val="22"/>
                <w:szCs w:val="22"/>
                <w:u w:val="none"/>
                <w:lang w:val="en-US" w:eastAsia="zh-CN" w:bidi="ar"/>
              </w:rPr>
              <w:t>培育1个电商小镇补助5万元、1个电商特色村奖励1万元</w:t>
            </w:r>
          </w:p>
        </w:tc>
      </w:tr>
      <w:tr>
        <w:tblPrEx>
          <w:tblCellMar>
            <w:top w:w="0" w:type="dxa"/>
            <w:left w:w="0" w:type="dxa"/>
            <w:bottom w:w="0" w:type="dxa"/>
            <w:right w:w="0" w:type="dxa"/>
          </w:tblCellMar>
        </w:tblPrEx>
        <w:trPr>
          <w:trHeight w:val="12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2</w:t>
            </w:r>
          </w:p>
        </w:tc>
        <w:tc>
          <w:tcPr>
            <w:tcW w:w="22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农产品网络品牌培育及推广</w:t>
            </w:r>
          </w:p>
        </w:tc>
        <w:tc>
          <w:tcPr>
            <w:tcW w:w="627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利用淘宝、京东等平台建设荆州特色馆、针对本地农产品进行包装设计，品牌策划，实现平台销售及品牌推广。打造区域公共品牌，培育1个农产品公共品牌，5个以上农产品电商品牌，促进“一村一品”建设。</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（共15个月）</w:t>
            </w:r>
          </w:p>
        </w:tc>
        <w:tc>
          <w:tcPr>
            <w:tcW w:w="111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auto"/>
                <w:sz w:val="22"/>
                <w:szCs w:val="22"/>
                <w:u w:val="none"/>
              </w:rPr>
            </w:pPr>
            <w:r>
              <w:rPr>
                <w:rFonts w:hint="default" w:ascii="等线" w:hAnsi="等线" w:eastAsia="等线" w:cs="等线"/>
                <w:i w:val="0"/>
                <w:color w:val="auto"/>
                <w:kern w:val="0"/>
                <w:sz w:val="22"/>
                <w:szCs w:val="22"/>
                <w:u w:val="none"/>
                <w:lang w:val="en-US" w:eastAsia="zh-CN" w:bidi="ar"/>
              </w:rPr>
              <w:t>一次性奖励</w:t>
            </w:r>
          </w:p>
        </w:tc>
      </w:tr>
      <w:tr>
        <w:tblPrEx>
          <w:tblCellMar>
            <w:top w:w="0" w:type="dxa"/>
            <w:left w:w="0" w:type="dxa"/>
            <w:bottom w:w="0" w:type="dxa"/>
            <w:right w:w="0" w:type="dxa"/>
          </w:tblCellMar>
        </w:tblPrEx>
        <w:trPr>
          <w:trHeight w:val="12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3</w:t>
            </w:r>
          </w:p>
        </w:tc>
        <w:tc>
          <w:tcPr>
            <w:tcW w:w="22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农产品质量安全保障体系建设</w:t>
            </w:r>
          </w:p>
        </w:tc>
        <w:tc>
          <w:tcPr>
            <w:tcW w:w="6270"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以标准化、市场化、可追溯化对本区内多个产品开展农产品质追溯体系建设、从源头抓起，实现“一品一码”。</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（共15个月）</w:t>
            </w:r>
          </w:p>
        </w:tc>
        <w:tc>
          <w:tcPr>
            <w:tcW w:w="111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540" w:hRule="atLeast"/>
        </w:trPr>
        <w:tc>
          <w:tcPr>
            <w:tcW w:w="1398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                 中</w:t>
            </w:r>
          </w:p>
        </w:tc>
      </w:tr>
      <w:tr>
        <w:tblPrEx>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 备 名 称</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配  置  要  求</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   量</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单价</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  价</w:t>
            </w: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农产品溯源系统软件</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监管平台系统、生产管理系统、检测数据采集系统、投入品管理系统</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农残检测仪</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8通道农残速测仪，wifi链接，自动上传检测数据</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3.3</w:t>
            </w:r>
          </w:p>
        </w:tc>
        <w:tc>
          <w:tcPr>
            <w:tcW w:w="227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农残检测试剂</w:t>
            </w:r>
          </w:p>
        </w:tc>
        <w:tc>
          <w:tcPr>
            <w:tcW w:w="538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每盒可检测500个样</w:t>
            </w:r>
          </w:p>
        </w:tc>
        <w:tc>
          <w:tcPr>
            <w:tcW w:w="887"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w:t>
            </w:r>
          </w:p>
        </w:tc>
        <w:tc>
          <w:tcPr>
            <w:tcW w:w="88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盒</w:t>
            </w:r>
          </w:p>
        </w:tc>
        <w:tc>
          <w:tcPr>
            <w:tcW w:w="89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3.4</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土壤墒情物联网自动监测系统</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自动监测土壤温度、水分、pH等农业生产土壤参数</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78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农业物联网大气环境检测系统</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自动检测大气温湿、二氧化碳、雨量、光照、风速风向等农业生产参数</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10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3.6</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土壤（肥料）养分速测仪</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检测土壤及化肥、有机肥、生物肥、植株中的速效氮、速效磷、有效钾、全氮、全磷、全钾、有机质含量，土壤酸碱度（定量）、含盐量。</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二维码打印机</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桌面二维码打印机</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9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3.8</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视频监控点室外</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高清球机（200万红外网络高清球机，POE供电，自动变焦，大光圈、焦距 4.7- 94mm，支持23倍光学变倍，红外100米）及户外防护罩、球机支架等；</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监控立杆</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≥3.5米，地埋式安装，混凝土立杆基础</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根</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3.10 </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分控机柜</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监控机柜</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3.11</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交换机</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8个10/100/1000Base-T以太网端口,POE交流供电</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个</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3.12 </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光纤终端盒</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8口光纤盒（工程电信级）、冷轧钢板表面环氧喷塑、包含电信级尾纤8条及相关配件</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个</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3.13</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光纤收发器</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千兆单模单纤光纤收发器；支持标准：IEEE 802.3、IEEE 802.3u、IEEE 802.3ab、IEEE 802.3z、IEEE 802.3x；接口：1个光纤接口、1个100Mbps/1000Mbps自适应RJ45口</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个</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3.14 </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光纤</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4芯单模光纤</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m</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shd w:val="clear" w:color="auto" w:fill="auto"/>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3.15</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网线</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超五类网线</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500</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m</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3.16 </w:t>
            </w:r>
          </w:p>
        </w:tc>
        <w:tc>
          <w:tcPr>
            <w:tcW w:w="227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配管</w:t>
            </w:r>
          </w:p>
        </w:tc>
        <w:tc>
          <w:tcPr>
            <w:tcW w:w="538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PVC管</w:t>
            </w:r>
            <w:r>
              <w:rPr>
                <w:rFonts w:hint="default" w:ascii="Times New Roman" w:hAnsi="Times New Roman" w:eastAsia="仿宋" w:cs="Times New Roman"/>
                <w:i w:val="0"/>
                <w:color w:val="000000"/>
                <w:kern w:val="0"/>
                <w:sz w:val="22"/>
                <w:szCs w:val="22"/>
                <w:u w:val="none"/>
                <w:lang w:val="en-US" w:eastAsia="zh-CN" w:bidi="ar"/>
              </w:rPr>
              <w:t>Ø</w:t>
            </w:r>
            <w:r>
              <w:rPr>
                <w:rFonts w:hint="eastAsia" w:ascii="仿宋" w:hAnsi="仿宋" w:eastAsia="仿宋" w:cs="仿宋"/>
                <w:i w:val="0"/>
                <w:color w:val="000000"/>
                <w:kern w:val="0"/>
                <w:sz w:val="22"/>
                <w:szCs w:val="22"/>
                <w:u w:val="none"/>
                <w:lang w:val="en-US" w:eastAsia="zh-CN" w:bidi="ar"/>
              </w:rPr>
              <w:t>20</w:t>
            </w:r>
          </w:p>
        </w:tc>
        <w:tc>
          <w:tcPr>
            <w:tcW w:w="88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500</w:t>
            </w:r>
          </w:p>
        </w:tc>
        <w:tc>
          <w:tcPr>
            <w:tcW w:w="881"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m</w:t>
            </w:r>
          </w:p>
        </w:tc>
        <w:tc>
          <w:tcPr>
            <w:tcW w:w="8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11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p>
        </w:tc>
        <w:tc>
          <w:tcPr>
            <w:tcW w:w="186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216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4</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农产品电子商务营销服务体系建设</w:t>
            </w:r>
          </w:p>
        </w:tc>
        <w:tc>
          <w:tcPr>
            <w:tcW w:w="62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以线上+线下的营销方式及社区电商平台，引导本地农民、贫困户、合作社企业与城市社区建立直接关系，设立农产品自提体验点和至少1家100㎡以上农产品O2O体验馆。举办荆州区农村电商创业大赛、荆州区农产品电商展销会等系列活动以及通过新媒体渠道做策划、推广宣传提高媒体曝光和荆州区电商的影响力。</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（共15个月）</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tblCellMar>
            <w:top w:w="0" w:type="dxa"/>
            <w:left w:w="0" w:type="dxa"/>
            <w:bottom w:w="0" w:type="dxa"/>
            <w:right w:w="0" w:type="dxa"/>
          </w:tblCellMar>
        </w:tblPrEx>
        <w:trPr>
          <w:trHeight w:val="154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5</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区级农产品电商仓储中心建设</w:t>
            </w:r>
          </w:p>
        </w:tc>
        <w:tc>
          <w:tcPr>
            <w:tcW w:w="627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lang w:val="en-US" w:eastAsia="zh-CN" w:bidi="ar"/>
              </w:rPr>
              <w:t>建设一个500m2左右的区级农产品电商仓储中心，为电商企业提供农产品的收集中转场地。</w:t>
            </w:r>
          </w:p>
        </w:tc>
        <w:tc>
          <w:tcPr>
            <w:tcW w:w="17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2"/>
                <w:sz w:val="22"/>
                <w:szCs w:val="22"/>
                <w:u w:val="none"/>
                <w:lang w:val="en-US" w:eastAsia="zh-CN" w:bidi="ar-SA"/>
              </w:rPr>
            </w:pP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年</w:t>
            </w:r>
            <w:r>
              <w:rPr>
                <w:rFonts w:hint="eastAsia" w:ascii="等线" w:hAnsi="等线" w:eastAsia="等线" w:cs="等线"/>
                <w:i w:val="0"/>
                <w:color w:val="000000"/>
                <w:kern w:val="0"/>
                <w:sz w:val="22"/>
                <w:szCs w:val="22"/>
                <w:u w:val="none"/>
                <w:lang w:val="en-US" w:eastAsia="zh-CN" w:bidi="ar"/>
              </w:rPr>
              <w:t xml:space="preserve"> </w:t>
            </w:r>
            <w:r>
              <w:rPr>
                <w:rFonts w:hint="default" w:ascii="等线" w:hAnsi="等线" w:eastAsia="等线" w:cs="等线"/>
                <w:i w:val="0"/>
                <w:color w:val="000000"/>
                <w:kern w:val="0"/>
                <w:sz w:val="22"/>
                <w:szCs w:val="22"/>
                <w:u w:val="none"/>
                <w:lang w:val="en-US" w:eastAsia="zh-CN" w:bidi="ar"/>
              </w:rPr>
              <w:t>月</w:t>
            </w:r>
            <w:r>
              <w:rPr>
                <w:rFonts w:hint="eastAsia" w:ascii="等线" w:hAnsi="等线" w:eastAsia="等线" w:cs="等线"/>
                <w:i w:val="0"/>
                <w:color w:val="000000"/>
                <w:kern w:val="0"/>
                <w:sz w:val="22"/>
                <w:szCs w:val="22"/>
                <w:u w:val="none"/>
                <w:lang w:val="en-US" w:eastAsia="zh-CN" w:bidi="ar"/>
              </w:rPr>
              <w:t>（共15个月）</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1398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                 中</w:t>
            </w:r>
          </w:p>
        </w:tc>
      </w:tr>
      <w:tr>
        <w:tblPrEx>
          <w:tblCellMar>
            <w:top w:w="0" w:type="dxa"/>
            <w:left w:w="0" w:type="dxa"/>
            <w:bottom w:w="0" w:type="dxa"/>
            <w:right w:w="0" w:type="dxa"/>
          </w:tblCellMar>
        </w:tblPrEx>
        <w:trPr>
          <w:trHeight w:val="72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设 备 名 称</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配  置  要  求</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   量</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单价</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  价</w:t>
            </w: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农产品仓储配送中心租赁改造</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含（场地2年租金、无尘地面铺设、水电改造、监控设备、装饰装修、宣传广告制作）</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5.2</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分拣设备</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电子台秤、触屏电脑、标签打印机、打印纸</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台</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90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5.3</w:t>
            </w:r>
          </w:p>
        </w:tc>
        <w:tc>
          <w:tcPr>
            <w:tcW w:w="2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仓储配送管理系统</w:t>
            </w:r>
          </w:p>
        </w:tc>
        <w:tc>
          <w:tcPr>
            <w:tcW w:w="53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采购模块、分拣模块、配送模块、进销存模块、财务模块、数据分析模块、商城下单模块</w:t>
            </w:r>
          </w:p>
        </w:tc>
        <w:tc>
          <w:tcPr>
            <w:tcW w:w="8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8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8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1260" w:hRule="atLeast"/>
        </w:trPr>
        <w:tc>
          <w:tcPr>
            <w:tcW w:w="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6</w:t>
            </w:r>
          </w:p>
        </w:tc>
        <w:tc>
          <w:tcPr>
            <w:tcW w:w="1031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r>
              <w:rPr>
                <w:rFonts w:hint="default" w:ascii="等线" w:hAnsi="等线" w:eastAsia="等线" w:cs="等线"/>
                <w:b/>
                <w:i w:val="0"/>
                <w:color w:val="000000"/>
                <w:kern w:val="0"/>
                <w:sz w:val="22"/>
                <w:szCs w:val="22"/>
                <w:u w:val="none"/>
                <w:lang w:val="en-US" w:eastAsia="zh-CN" w:bidi="ar"/>
              </w:rPr>
              <w:t>合计</w:t>
            </w: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b/>
                <w:i w:val="0"/>
                <w:color w:val="000000"/>
                <w:sz w:val="22"/>
                <w:szCs w:val="22"/>
                <w:u w:val="none"/>
              </w:rPr>
            </w:pPr>
          </w:p>
        </w:tc>
        <w:tc>
          <w:tcPr>
            <w:tcW w:w="18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rPr>
                <w:rFonts w:hint="default" w:ascii="等线" w:hAnsi="等线" w:eastAsia="等线" w:cs="等线"/>
                <w:b/>
                <w:i w:val="0"/>
                <w:color w:val="000000"/>
                <w:sz w:val="22"/>
                <w:szCs w:val="22"/>
                <w:u w:val="none"/>
              </w:rPr>
            </w:pPr>
          </w:p>
        </w:tc>
      </w:tr>
    </w:tbl>
    <w:p>
      <w:pPr>
        <w:rPr>
          <w:rFonts w:hint="default"/>
          <w:lang w:val="en-US" w:eastAsia="zh-CN"/>
        </w:rPr>
        <w:sectPr>
          <w:pgSz w:w="16838" w:h="11906" w:orient="landscape"/>
          <w:pgMar w:top="1701" w:right="1440" w:bottom="1417" w:left="1440" w:header="851" w:footer="992" w:gutter="0"/>
          <w:pgNumType w:fmt="decimal"/>
          <w:cols w:space="0" w:num="1"/>
          <w:titlePg/>
          <w:rtlGutter w:val="0"/>
          <w:docGrid w:linePitch="312" w:charSpace="0"/>
        </w:sectPr>
      </w:pPr>
      <w:r>
        <w:rPr>
          <w:rFonts w:hint="default"/>
          <w:lang w:val="en-US" w:eastAsia="zh-CN"/>
        </w:rPr>
        <w:br w:type="page"/>
      </w:r>
    </w:p>
    <w:p>
      <w:pPr>
        <w:spacing w:line="540" w:lineRule="exact"/>
        <w:jc w:val="center"/>
        <w:rPr>
          <w:rFonts w:ascii="黑体" w:hAnsi="黑体" w:eastAsia="黑体" w:cs="黑体"/>
          <w:bCs/>
          <w:kern w:val="0"/>
          <w:sz w:val="32"/>
          <w:szCs w:val="32"/>
        </w:rPr>
      </w:pPr>
      <w:r>
        <w:rPr>
          <w:rFonts w:hint="eastAsia" w:ascii="黑体" w:hAnsi="黑体" w:eastAsia="黑体" w:cs="黑体"/>
          <w:bCs/>
          <w:kern w:val="0"/>
          <w:sz w:val="32"/>
          <w:szCs w:val="32"/>
        </w:rPr>
        <w:t>第四章 评标方法、步骤及标准</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根据《中华人民共和国政府采购法》和《政府采购货物服务招标投标管理办法》的相关法规确定以下评标办法。</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一、评标办法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评标委员会将按照招标文件规定，对资质与符合性评审合格的投标文件进行评标。评标采用综合评估法，将经评审的综合得分最高的投标人作为第一名（评分细则附后）。</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二、评标步骤</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评标委员会对投标文件进行资格性审查和符合性检查合格后，进入综合评议，没有实质性响应招标文件要求的，投标文件无效。</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（一）资格性审查和符合性检查</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标委员会审查各投标人的投标文件是否实质上响应了招标文件的资格和符合性要求。实质上响应的投标应该是与招标文件要求的关键条款、条件和规格相符，没有重大偏离的投标。对关键条文的偏离、保留或反对将被认为实质上的偏离。评标委员会决定投标的响应性只根据投标文件本身的真实无误的内容，而不依据外部的证据，但投标文件有不真实不正确的内容时除外。</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（二）进入综合评议</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评标委员会对资格性审查和符合性检查均合格的投标文件按照招标文件要求进行综合评议，没有实质性响应招标文件要求的，投标文件无效。</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jc w:val="left"/>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（三）确定中标候选人</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标委员会依据对各投标文件的评审结果，提出书面评标报告，并根据招标文件的规定，凡是资格性审查和符合性检查均合格且实质性响应技术服务要求的投标人，经评审专家组综合评分分值最高者为第一中标候选供应商。</w:t>
      </w:r>
      <w:r>
        <w:rPr>
          <w:rFonts w:hint="eastAsia" w:ascii="仿宋_GB2312" w:hAnsi="仿宋_GB2312" w:eastAsia="仿宋_GB2312" w:cs="仿宋_GB2312"/>
          <w:sz w:val="32"/>
          <w:szCs w:val="32"/>
          <w:lang w:val="en-US" w:eastAsia="zh-CN"/>
        </w:rPr>
        <w:t xml:space="preserve"> </w:t>
      </w:r>
    </w:p>
    <w:p>
      <w:pPr>
        <w:rPr>
          <w:rFonts w:hint="eastAsia" w:ascii="宋体" w:hAnsi="宋体" w:cs="宋体"/>
          <w:b/>
          <w:bCs/>
          <w:sz w:val="24"/>
          <w:szCs w:val="24"/>
          <w:lang w:val="zh-CN" w:eastAsia="zh-CN"/>
        </w:rPr>
      </w:pPr>
      <w:r>
        <w:rPr>
          <w:rFonts w:hint="eastAsia" w:ascii="宋体" w:hAnsi="宋体" w:cs="宋体"/>
          <w:b/>
          <w:bCs/>
          <w:sz w:val="24"/>
          <w:szCs w:val="24"/>
          <w:lang w:val="zh-CN" w:eastAsia="zh-CN"/>
        </w:rPr>
        <w:br w:type="page"/>
      </w:r>
    </w:p>
    <w:p>
      <w:pPr>
        <w:spacing w:line="540" w:lineRule="exact"/>
      </w:pPr>
      <w:r>
        <w:rPr>
          <w:rFonts w:hint="eastAsia" w:ascii="仿宋_GB2312" w:hAnsi="仿宋_GB2312" w:eastAsia="仿宋_GB2312" w:cs="仿宋_GB2312"/>
          <w:b/>
          <w:kern w:val="0"/>
          <w:sz w:val="32"/>
          <w:szCs w:val="32"/>
        </w:rPr>
        <w:t>三、评审因素及评分标准</w:t>
      </w:r>
    </w:p>
    <w:p>
      <w:pPr>
        <w:numPr>
          <w:ilvl w:val="0"/>
          <w:numId w:val="0"/>
        </w:numPr>
        <w:spacing w:before="60" w:after="60" w:line="360" w:lineRule="exact"/>
        <w:ind w:leftChars="-13"/>
        <w:rPr>
          <w:rFonts w:hint="eastAsia" w:ascii="仿宋_GB2312" w:hAnsi="仿宋_GB2312" w:eastAsia="仿宋_GB2312" w:cs="仿宋_GB2312"/>
          <w:b/>
          <w:bCs/>
          <w:sz w:val="28"/>
          <w:szCs w:val="28"/>
        </w:rPr>
      </w:pPr>
    </w:p>
    <w:p>
      <w:pPr>
        <w:numPr>
          <w:ilvl w:val="0"/>
          <w:numId w:val="0"/>
        </w:numPr>
        <w:spacing w:before="60" w:after="60" w:line="360" w:lineRule="exact"/>
        <w:ind w:leftChars="-13"/>
      </w:pPr>
      <w:r>
        <w:rPr>
          <w:rFonts w:hint="eastAsia" w:ascii="仿宋_GB2312" w:hAnsi="仿宋_GB2312" w:eastAsia="仿宋_GB2312" w:cs="仿宋_GB2312"/>
          <w:b/>
          <w:bCs/>
          <w:sz w:val="28"/>
          <w:szCs w:val="28"/>
        </w:rPr>
        <w:t>本项目采用综合评分法，满分100分。</w:t>
      </w:r>
    </w:p>
    <w:tbl>
      <w:tblPr>
        <w:tblStyle w:val="23"/>
        <w:tblW w:w="891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8"/>
        <w:gridCol w:w="1"/>
        <w:gridCol w:w="918"/>
        <w:gridCol w:w="799"/>
        <w:gridCol w:w="6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1837" w:type="dxa"/>
            <w:gridSpan w:val="3"/>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07"/>
              <w:jc w:val="center"/>
              <w:textAlignment w:val="auto"/>
              <w:rPr>
                <w:b/>
                <w:color w:val="auto"/>
                <w:sz w:val="21"/>
                <w:szCs w:val="21"/>
              </w:rPr>
            </w:pPr>
            <w:r>
              <w:rPr>
                <w:b/>
                <w:color w:val="auto"/>
                <w:sz w:val="21"/>
                <w:szCs w:val="21"/>
              </w:rPr>
              <w:t>项目</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right="127" w:rightChars="0"/>
              <w:jc w:val="center"/>
              <w:textAlignment w:val="auto"/>
              <w:rPr>
                <w:b/>
                <w:color w:val="auto"/>
                <w:sz w:val="21"/>
                <w:szCs w:val="21"/>
              </w:rPr>
            </w:pPr>
            <w:r>
              <w:rPr>
                <w:b/>
                <w:color w:val="auto"/>
                <w:w w:val="95"/>
                <w:sz w:val="21"/>
                <w:szCs w:val="21"/>
              </w:rPr>
              <w:t>分值</w:t>
            </w:r>
          </w:p>
        </w:tc>
        <w:tc>
          <w:tcPr>
            <w:tcW w:w="6274"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116" w:rightChars="0" w:firstLine="0" w:firstLineChars="0"/>
              <w:jc w:val="center"/>
              <w:textAlignment w:val="auto"/>
              <w:rPr>
                <w:b/>
                <w:color w:val="auto"/>
                <w:sz w:val="21"/>
                <w:szCs w:val="21"/>
              </w:rPr>
            </w:pPr>
            <w:r>
              <w:rPr>
                <w:b/>
                <w:bCs/>
                <w:color w:val="auto"/>
                <w:sz w:val="21"/>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1837" w:type="dxa"/>
            <w:gridSpan w:val="3"/>
            <w:vAlign w:val="center"/>
          </w:tcPr>
          <w:p>
            <w:pPr>
              <w:pStyle w:val="4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auto"/>
                <w:sz w:val="21"/>
                <w:szCs w:val="21"/>
              </w:rPr>
            </w:pPr>
          </w:p>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90" w:rightChars="43"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pacing w:val="-1"/>
                <w:sz w:val="21"/>
                <w:szCs w:val="21"/>
              </w:rPr>
              <w:t>价格部分</w:t>
            </w:r>
          </w:p>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color w:val="auto"/>
                <w:sz w:val="21"/>
                <w:szCs w:val="21"/>
              </w:rPr>
            </w:pPr>
            <w:r>
              <w:rPr>
                <w:rFonts w:hint="eastAsia" w:ascii="宋体" w:hAnsi="宋体" w:eastAsia="宋体" w:cs="宋体"/>
                <w:color w:val="auto"/>
                <w:spacing w:val="-1"/>
                <w:sz w:val="21"/>
                <w:szCs w:val="21"/>
              </w:rPr>
              <w:t>（</w:t>
            </w:r>
            <w:r>
              <w:rPr>
                <w:rFonts w:hint="eastAsia" w:ascii="宋体" w:hAnsi="宋体" w:eastAsia="宋体" w:cs="宋体"/>
                <w:color w:val="auto"/>
                <w:spacing w:val="-1"/>
                <w:sz w:val="21"/>
                <w:szCs w:val="21"/>
                <w:lang w:val="en-US" w:eastAsia="zh-CN"/>
              </w:rPr>
              <w:t>1</w:t>
            </w:r>
            <w:r>
              <w:rPr>
                <w:rFonts w:hint="eastAsia" w:ascii="宋体" w:hAnsi="宋体" w:eastAsia="宋体" w:cs="宋体"/>
                <w:color w:val="auto"/>
                <w:spacing w:val="-1"/>
                <w:sz w:val="21"/>
                <w:szCs w:val="21"/>
              </w:rPr>
              <w:t>0</w:t>
            </w:r>
            <w:r>
              <w:rPr>
                <w:rFonts w:hint="eastAsia" w:ascii="宋体" w:hAnsi="宋体" w:eastAsia="宋体" w:cs="宋体"/>
                <w:color w:val="auto"/>
                <w:spacing w:val="-3"/>
                <w:sz w:val="21"/>
                <w:szCs w:val="21"/>
              </w:rPr>
              <w:t>分</w:t>
            </w:r>
            <w:r>
              <w:rPr>
                <w:rFonts w:hint="eastAsia" w:ascii="宋体" w:hAnsi="宋体" w:eastAsia="宋体" w:cs="宋体"/>
                <w:color w:val="auto"/>
                <w:sz w:val="21"/>
                <w:szCs w:val="21"/>
              </w:rPr>
              <w:t>）</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79" w:rightChars="0"/>
              <w:jc w:val="center"/>
              <w:textAlignment w:val="auto"/>
              <w:rPr>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0</w:t>
            </w:r>
          </w:p>
        </w:tc>
        <w:tc>
          <w:tcPr>
            <w:tcW w:w="6274" w:type="dxa"/>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采用低价优先法计算，即满足招标文件要求且投标价格最低的投标报价为评标基准价，其价格分为满分。其他投标人的价格分统一按照下列公式计算：投标报价得分=（评标基准价/投标报价）×价格权值</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0×100。</w:t>
            </w:r>
          </w:p>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2" w:firstLineChars="200"/>
              <w:textAlignment w:val="auto"/>
              <w:rPr>
                <w:b/>
                <w:color w:val="auto"/>
                <w:sz w:val="21"/>
                <w:szCs w:val="21"/>
              </w:rPr>
            </w:pPr>
            <w:r>
              <w:rPr>
                <w:rFonts w:hint="eastAsia" w:ascii="宋体" w:hAnsi="宋体" w:eastAsia="宋体" w:cs="宋体"/>
                <w:b/>
                <w:color w:val="auto"/>
                <w:sz w:val="21"/>
                <w:szCs w:val="21"/>
              </w:rPr>
              <w:t>注：价格分计算保留小数点后两位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1" w:hRule="atLeast"/>
        </w:trPr>
        <w:tc>
          <w:tcPr>
            <w:tcW w:w="918" w:type="dxa"/>
            <w:vMerge w:val="restart"/>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210" w:leftChars="0" w:right="75" w:rightChars="0" w:hanging="210" w:firstLineChars="0"/>
              <w:jc w:val="center"/>
              <w:textAlignment w:val="auto"/>
              <w:rPr>
                <w:color w:val="auto"/>
                <w:spacing w:val="-3"/>
                <w:sz w:val="21"/>
                <w:szCs w:val="21"/>
              </w:rPr>
            </w:pPr>
            <w:r>
              <w:rPr>
                <w:color w:val="auto"/>
                <w:spacing w:val="-3"/>
                <w:sz w:val="21"/>
                <w:szCs w:val="21"/>
              </w:rPr>
              <w:t>商务</w:t>
            </w:r>
          </w:p>
          <w:p>
            <w:pPr>
              <w:pStyle w:val="47"/>
              <w:keepNext w:val="0"/>
              <w:keepLines w:val="0"/>
              <w:pageBreakBefore w:val="0"/>
              <w:widowControl w:val="0"/>
              <w:kinsoku/>
              <w:wordWrap/>
              <w:overflowPunct/>
              <w:topLinePunct w:val="0"/>
              <w:autoSpaceDE/>
              <w:autoSpaceDN/>
              <w:bidi w:val="0"/>
              <w:adjustRightInd/>
              <w:snapToGrid/>
              <w:spacing w:line="400" w:lineRule="exact"/>
              <w:ind w:left="210" w:leftChars="0" w:right="75" w:rightChars="0" w:hanging="210" w:firstLineChars="0"/>
              <w:jc w:val="center"/>
              <w:textAlignment w:val="auto"/>
              <w:rPr>
                <w:color w:val="auto"/>
                <w:sz w:val="21"/>
                <w:szCs w:val="21"/>
              </w:rPr>
            </w:pPr>
            <w:r>
              <w:rPr>
                <w:color w:val="auto"/>
                <w:spacing w:val="-3"/>
                <w:sz w:val="21"/>
                <w:szCs w:val="21"/>
              </w:rPr>
              <w:t>部分</w:t>
            </w:r>
          </w:p>
          <w:p>
            <w:pPr>
              <w:pStyle w:val="47"/>
              <w:keepNext w:val="0"/>
              <w:keepLines w:val="0"/>
              <w:pageBreakBefore w:val="0"/>
              <w:widowControl w:val="0"/>
              <w:kinsoku/>
              <w:wordWrap/>
              <w:overflowPunct/>
              <w:topLinePunct w:val="0"/>
              <w:autoSpaceDE/>
              <w:autoSpaceDN/>
              <w:bidi w:val="0"/>
              <w:adjustRightInd/>
              <w:snapToGrid/>
              <w:spacing w:line="400" w:lineRule="exact"/>
              <w:ind w:left="210" w:leftChars="0" w:right="75" w:rightChars="0" w:hanging="210" w:firstLineChars="0"/>
              <w:jc w:val="center"/>
              <w:textAlignment w:val="auto"/>
              <w:rPr>
                <w:b/>
                <w:color w:val="auto"/>
                <w:sz w:val="21"/>
                <w:szCs w:val="21"/>
              </w:rPr>
            </w:pPr>
          </w:p>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z w:val="21"/>
                <w:szCs w:val="21"/>
              </w:rPr>
            </w:pPr>
            <w:r>
              <w:rPr>
                <w:color w:val="auto"/>
                <w:spacing w:val="-3"/>
                <w:sz w:val="21"/>
                <w:szCs w:val="21"/>
              </w:rPr>
              <w:t>（</w:t>
            </w:r>
            <w:r>
              <w:rPr>
                <w:rFonts w:hint="eastAsia"/>
                <w:color w:val="auto"/>
                <w:spacing w:val="-3"/>
                <w:sz w:val="21"/>
                <w:szCs w:val="21"/>
                <w:lang w:val="en-US" w:eastAsia="zh-CN"/>
              </w:rPr>
              <w:t>35</w:t>
            </w:r>
            <w:r>
              <w:rPr>
                <w:color w:val="auto"/>
                <w:spacing w:val="-3"/>
                <w:sz w:val="21"/>
                <w:szCs w:val="21"/>
              </w:rPr>
              <w:t>分）</w:t>
            </w:r>
          </w:p>
        </w:tc>
        <w:tc>
          <w:tcPr>
            <w:tcW w:w="919" w:type="dxa"/>
            <w:gridSpan w:val="2"/>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lang w:eastAsia="zh-CN"/>
              </w:rPr>
              <w:t>投标人</w:t>
            </w:r>
          </w:p>
          <w:p>
            <w:pPr>
              <w:pStyle w:val="47"/>
              <w:keepNext w:val="0"/>
              <w:keepLines w:val="0"/>
              <w:pageBreakBefore w:val="0"/>
              <w:widowControl w:val="0"/>
              <w:kinsoku/>
              <w:wordWrap/>
              <w:overflowPunct/>
              <w:topLinePunct w:val="0"/>
              <w:autoSpaceDE/>
              <w:autoSpaceDN/>
              <w:bidi w:val="0"/>
              <w:adjustRightInd/>
              <w:snapToGrid/>
              <w:spacing w:line="400" w:lineRule="exact"/>
              <w:ind w:left="15" w:right="1"/>
              <w:jc w:val="center"/>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lang w:eastAsia="zh-CN"/>
              </w:rPr>
              <w:t>荣誉</w:t>
            </w:r>
          </w:p>
          <w:p>
            <w:pPr>
              <w:pStyle w:val="47"/>
              <w:keepNext w:val="0"/>
              <w:keepLines w:val="0"/>
              <w:pageBreakBefore w:val="0"/>
              <w:widowControl w:val="0"/>
              <w:kinsoku/>
              <w:wordWrap/>
              <w:overflowPunct/>
              <w:topLinePunct w:val="0"/>
              <w:autoSpaceDE/>
              <w:autoSpaceDN/>
              <w:bidi w:val="0"/>
              <w:adjustRightInd/>
              <w:snapToGrid/>
              <w:spacing w:line="400" w:lineRule="exact"/>
              <w:ind w:left="15" w:right="1"/>
              <w:jc w:val="center"/>
              <w:textAlignment w:val="auto"/>
              <w:rPr>
                <w:rFonts w:hint="eastAsia" w:ascii="宋体" w:hAnsi="宋体" w:eastAsia="宋体" w:cs="宋体"/>
                <w:spacing w:val="0"/>
                <w:sz w:val="21"/>
                <w:szCs w:val="21"/>
                <w:lang w:val="en-US" w:eastAsia="zh-CN"/>
              </w:rPr>
            </w:pPr>
            <w:r>
              <w:rPr>
                <w:rFonts w:hint="eastAsia" w:cs="宋体"/>
                <w:spacing w:val="0"/>
                <w:sz w:val="21"/>
                <w:szCs w:val="21"/>
                <w:lang w:eastAsia="zh-CN"/>
              </w:rPr>
              <w:t>（</w:t>
            </w:r>
            <w:r>
              <w:rPr>
                <w:rFonts w:hint="eastAsia" w:cs="宋体"/>
                <w:spacing w:val="0"/>
                <w:sz w:val="21"/>
                <w:szCs w:val="21"/>
                <w:lang w:val="en-US" w:eastAsia="zh-CN"/>
              </w:rPr>
              <w:t>9分</w:t>
            </w:r>
            <w:r>
              <w:rPr>
                <w:rFonts w:hint="eastAsia" w:cs="宋体"/>
                <w:spacing w:val="0"/>
                <w:sz w:val="21"/>
                <w:szCs w:val="21"/>
                <w:lang w:eastAsia="zh-CN"/>
              </w:rPr>
              <w:t>）</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default" w:ascii="Times New Roman" w:hAnsi="宋体" w:eastAsia="宋体" w:cs="宋体"/>
                <w:color w:val="auto"/>
                <w:kern w:val="2"/>
                <w:sz w:val="21"/>
                <w:szCs w:val="21"/>
                <w:lang w:val="en-US" w:eastAsia="zh-CN" w:bidi="zh-CN"/>
              </w:rPr>
            </w:pPr>
            <w:r>
              <w:rPr>
                <w:rFonts w:hint="eastAsia" w:ascii="宋体" w:hAnsi="宋体" w:eastAsia="宋体" w:cs="宋体"/>
                <w:sz w:val="21"/>
                <w:szCs w:val="21"/>
                <w:lang w:val="en-US" w:eastAsia="zh-CN"/>
              </w:rPr>
              <w:t>9</w:t>
            </w:r>
          </w:p>
        </w:tc>
        <w:tc>
          <w:tcPr>
            <w:tcW w:w="6274" w:type="dxa"/>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default"/>
                <w:color w:val="auto"/>
                <w:sz w:val="21"/>
                <w:szCs w:val="21"/>
                <w:lang w:val="en-US" w:eastAsia="zh-CN"/>
              </w:rPr>
            </w:pPr>
            <w:r>
              <w:rPr>
                <w:rFonts w:hint="eastAsia" w:cs="宋体"/>
                <w:color w:val="auto"/>
                <w:sz w:val="21"/>
                <w:szCs w:val="21"/>
                <w:lang w:eastAsia="zh-CN"/>
              </w:rPr>
              <w:t>提供近五年每</w:t>
            </w:r>
            <w:r>
              <w:rPr>
                <w:rFonts w:hint="eastAsia" w:ascii="宋体" w:hAnsi="宋体" w:eastAsia="宋体" w:cs="宋体"/>
                <w:color w:val="auto"/>
                <w:sz w:val="21"/>
                <w:szCs w:val="21"/>
                <w:lang w:eastAsia="zh-CN"/>
              </w:rPr>
              <w:t>获得</w:t>
            </w:r>
            <w:r>
              <w:rPr>
                <w:rFonts w:hint="eastAsia" w:cs="宋体"/>
                <w:color w:val="auto"/>
                <w:sz w:val="21"/>
                <w:szCs w:val="21"/>
                <w:lang w:eastAsia="zh-CN"/>
              </w:rPr>
              <w:t>一个</w:t>
            </w:r>
            <w:r>
              <w:rPr>
                <w:rFonts w:hint="eastAsia" w:ascii="宋体" w:hAnsi="宋体" w:eastAsia="宋体" w:cs="宋体"/>
                <w:color w:val="auto"/>
                <w:sz w:val="21"/>
                <w:szCs w:val="21"/>
                <w:lang w:eastAsia="zh-CN"/>
              </w:rPr>
              <w:t>省级及以上荣誉的得</w:t>
            </w:r>
            <w:r>
              <w:rPr>
                <w:rFonts w:hint="eastAsia" w:ascii="宋体" w:hAnsi="宋体" w:eastAsia="宋体" w:cs="宋体"/>
                <w:color w:val="auto"/>
                <w:sz w:val="21"/>
                <w:szCs w:val="21"/>
                <w:lang w:val="en-US" w:eastAsia="zh-CN"/>
              </w:rPr>
              <w:t>3分，市</w:t>
            </w:r>
            <w:r>
              <w:rPr>
                <w:rFonts w:hint="eastAsia" w:ascii="宋体" w:hAnsi="宋体" w:eastAsia="宋体" w:cs="宋体"/>
                <w:color w:val="auto"/>
                <w:sz w:val="21"/>
                <w:szCs w:val="21"/>
                <w:lang w:eastAsia="zh-CN"/>
              </w:rPr>
              <w:t>级得</w:t>
            </w:r>
            <w:r>
              <w:rPr>
                <w:rFonts w:hint="eastAsia" w:ascii="宋体" w:hAnsi="宋体" w:eastAsia="宋体" w:cs="宋体"/>
                <w:color w:val="auto"/>
                <w:sz w:val="21"/>
                <w:szCs w:val="21"/>
                <w:lang w:val="en-US" w:eastAsia="zh-CN"/>
              </w:rPr>
              <w:t>2分，县级得1分，可累计得分，最高得9分</w:t>
            </w:r>
            <w:r>
              <w:rPr>
                <w:rFonts w:hint="eastAsia" w:cs="宋体"/>
                <w:color w:val="auto"/>
                <w:sz w:val="21"/>
                <w:szCs w:val="21"/>
                <w:lang w:val="en-US" w:eastAsia="zh-CN"/>
              </w:rPr>
              <w:t>，未提供不得分</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pacing w:val="-3"/>
                <w:sz w:val="21"/>
                <w:szCs w:val="21"/>
              </w:rPr>
            </w:pPr>
          </w:p>
        </w:tc>
        <w:tc>
          <w:tcPr>
            <w:tcW w:w="919" w:type="dxa"/>
            <w:gridSpan w:val="2"/>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pacing w:val="-3"/>
                <w:sz w:val="21"/>
                <w:szCs w:val="21"/>
              </w:rPr>
            </w:pPr>
            <w:r>
              <w:rPr>
                <w:rFonts w:hint="eastAsia" w:cs="宋体"/>
                <w:spacing w:val="0"/>
                <w:sz w:val="21"/>
                <w:szCs w:val="21"/>
                <w:lang w:eastAsia="zh-CN"/>
              </w:rPr>
              <w:t>拟派人员（</w:t>
            </w:r>
            <w:r>
              <w:rPr>
                <w:rFonts w:hint="eastAsia" w:cs="宋体"/>
                <w:spacing w:val="0"/>
                <w:sz w:val="21"/>
                <w:szCs w:val="21"/>
                <w:lang w:val="en-US" w:eastAsia="zh-CN"/>
              </w:rPr>
              <w:t>9分</w:t>
            </w:r>
            <w:r>
              <w:rPr>
                <w:rFonts w:hint="eastAsia" w:cs="宋体"/>
                <w:spacing w:val="0"/>
                <w:sz w:val="21"/>
                <w:szCs w:val="21"/>
                <w:lang w:eastAsia="zh-CN"/>
              </w:rPr>
              <w:t>）</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rFonts w:hint="eastAsia" w:eastAsia="宋体"/>
                <w:color w:val="auto"/>
                <w:spacing w:val="-3"/>
                <w:sz w:val="21"/>
                <w:szCs w:val="21"/>
                <w:lang w:val="en-US" w:eastAsia="zh-CN"/>
              </w:rPr>
            </w:pPr>
            <w:r>
              <w:rPr>
                <w:rFonts w:hint="eastAsia"/>
                <w:color w:val="auto"/>
                <w:spacing w:val="-3"/>
                <w:sz w:val="21"/>
                <w:szCs w:val="21"/>
                <w:lang w:val="en-US" w:eastAsia="zh-CN"/>
              </w:rPr>
              <w:t>9</w:t>
            </w:r>
          </w:p>
        </w:tc>
        <w:tc>
          <w:tcPr>
            <w:tcW w:w="6274"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rPr>
                <w:color w:val="auto"/>
                <w:spacing w:val="-3"/>
                <w:sz w:val="21"/>
                <w:szCs w:val="21"/>
              </w:rPr>
            </w:pPr>
            <w:r>
              <w:rPr>
                <w:rFonts w:hint="eastAsia" w:cs="宋体"/>
                <w:color w:val="auto"/>
                <w:spacing w:val="0"/>
                <w:sz w:val="21"/>
                <w:szCs w:val="21"/>
                <w:lang w:eastAsia="zh-CN"/>
              </w:rPr>
              <w:t>提供拟派人员名单中</w:t>
            </w:r>
            <w:r>
              <w:rPr>
                <w:rFonts w:hint="eastAsia" w:ascii="宋体" w:hAnsi="宋体" w:eastAsia="宋体" w:cs="宋体"/>
                <w:color w:val="auto"/>
                <w:spacing w:val="0"/>
                <w:sz w:val="21"/>
                <w:szCs w:val="21"/>
                <w:lang w:eastAsia="zh-CN"/>
              </w:rPr>
              <w:t>具有人力资源和社会保障部门颁发或高校颁发的创业咨询师证书或创业导师</w:t>
            </w:r>
            <w:r>
              <w:rPr>
                <w:rFonts w:hint="eastAsia" w:cs="宋体"/>
                <w:color w:val="auto"/>
                <w:spacing w:val="0"/>
                <w:sz w:val="21"/>
                <w:szCs w:val="21"/>
                <w:lang w:eastAsia="zh-CN"/>
              </w:rPr>
              <w:t>，</w:t>
            </w:r>
            <w:r>
              <w:rPr>
                <w:rFonts w:hint="eastAsia" w:ascii="宋体" w:hAnsi="宋体" w:eastAsia="宋体" w:cs="宋体"/>
                <w:color w:val="auto"/>
                <w:spacing w:val="0"/>
                <w:sz w:val="21"/>
                <w:szCs w:val="21"/>
                <w:lang w:eastAsia="zh-CN"/>
              </w:rPr>
              <w:t>每提供一个得</w:t>
            </w:r>
            <w:r>
              <w:rPr>
                <w:rFonts w:hint="eastAsia" w:cs="宋体"/>
                <w:color w:val="auto"/>
                <w:spacing w:val="0"/>
                <w:sz w:val="21"/>
                <w:szCs w:val="21"/>
                <w:lang w:val="en-US" w:eastAsia="zh-CN"/>
              </w:rPr>
              <w:t>1.5</w:t>
            </w:r>
            <w:r>
              <w:rPr>
                <w:rFonts w:hint="eastAsia" w:ascii="宋体" w:hAnsi="宋体" w:eastAsia="宋体" w:cs="宋体"/>
                <w:color w:val="auto"/>
                <w:spacing w:val="0"/>
                <w:sz w:val="21"/>
                <w:szCs w:val="21"/>
                <w:lang w:eastAsia="zh-CN"/>
              </w:rPr>
              <w:t>分</w:t>
            </w:r>
            <w:r>
              <w:rPr>
                <w:rFonts w:hint="eastAsia" w:cs="宋体"/>
                <w:color w:val="auto"/>
                <w:spacing w:val="0"/>
                <w:sz w:val="21"/>
                <w:szCs w:val="21"/>
                <w:lang w:eastAsia="zh-CN"/>
              </w:rPr>
              <w:t>，</w:t>
            </w:r>
            <w:r>
              <w:rPr>
                <w:rFonts w:hint="eastAsia" w:ascii="宋体" w:hAnsi="宋体" w:eastAsia="宋体" w:cs="宋体"/>
                <w:color w:val="auto"/>
                <w:spacing w:val="0"/>
                <w:sz w:val="21"/>
                <w:szCs w:val="21"/>
                <w:lang w:eastAsia="zh-CN"/>
              </w:rPr>
              <w:t>最高</w:t>
            </w:r>
            <w:r>
              <w:rPr>
                <w:rFonts w:hint="eastAsia" w:cs="宋体"/>
                <w:color w:val="auto"/>
                <w:spacing w:val="0"/>
                <w:sz w:val="21"/>
                <w:szCs w:val="21"/>
                <w:lang w:val="en-US" w:eastAsia="zh-CN"/>
              </w:rPr>
              <w:t>9</w:t>
            </w:r>
            <w:r>
              <w:rPr>
                <w:rFonts w:hint="eastAsia" w:ascii="宋体" w:hAnsi="宋体" w:eastAsia="宋体" w:cs="宋体"/>
                <w:color w:val="auto"/>
                <w:spacing w:val="0"/>
                <w:sz w:val="21"/>
                <w:szCs w:val="21"/>
                <w:lang w:val="en-US" w:eastAsia="zh-CN"/>
              </w:rPr>
              <w:t>分</w:t>
            </w:r>
            <w:r>
              <w:rPr>
                <w:rFonts w:hint="eastAsia" w:cs="宋体"/>
                <w:color w:val="auto"/>
                <w:spacing w:val="0"/>
                <w:sz w:val="21"/>
                <w:szCs w:val="21"/>
                <w:lang w:val="en-US" w:eastAsia="zh-CN"/>
              </w:rPr>
              <w:t>，未提供不得分</w:t>
            </w:r>
            <w:r>
              <w:rPr>
                <w:rFonts w:hint="eastAsia" w:ascii="宋体" w:hAnsi="宋体" w:eastAsia="宋体" w:cs="宋体"/>
                <w:color w:val="auto"/>
                <w:spacing w:val="0"/>
                <w:sz w:val="21"/>
                <w:szCs w:val="21"/>
                <w:lang w:val="en-US" w:eastAsia="zh-CN"/>
              </w:rPr>
              <w:t>。（提供团队人员社保及相关证明材料）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pacing w:val="-3"/>
                <w:sz w:val="21"/>
                <w:szCs w:val="21"/>
              </w:rPr>
            </w:pPr>
          </w:p>
        </w:tc>
        <w:tc>
          <w:tcPr>
            <w:tcW w:w="919" w:type="dxa"/>
            <w:gridSpan w:val="2"/>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pacing w:val="-3"/>
                <w:sz w:val="21"/>
                <w:szCs w:val="21"/>
              </w:rPr>
            </w:pPr>
            <w:r>
              <w:rPr>
                <w:color w:val="auto"/>
                <w:spacing w:val="-3"/>
                <w:sz w:val="21"/>
                <w:szCs w:val="21"/>
              </w:rPr>
              <w:t>实施经验</w:t>
            </w:r>
          </w:p>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pacing w:val="-3"/>
                <w:sz w:val="21"/>
                <w:szCs w:val="21"/>
              </w:rPr>
            </w:pPr>
            <w:r>
              <w:rPr>
                <w:color w:val="auto"/>
                <w:spacing w:val="-3"/>
                <w:sz w:val="21"/>
                <w:szCs w:val="21"/>
              </w:rPr>
              <w:t>（</w:t>
            </w:r>
            <w:r>
              <w:rPr>
                <w:rFonts w:hint="eastAsia"/>
                <w:color w:val="auto"/>
                <w:spacing w:val="-3"/>
                <w:sz w:val="21"/>
                <w:szCs w:val="21"/>
                <w:lang w:val="en-US" w:eastAsia="zh-CN"/>
              </w:rPr>
              <w:t>14</w:t>
            </w:r>
            <w:r>
              <w:rPr>
                <w:color w:val="auto"/>
                <w:spacing w:val="-3"/>
                <w:sz w:val="21"/>
                <w:szCs w:val="21"/>
              </w:rPr>
              <w:t xml:space="preserve"> 分）</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rFonts w:hint="default"/>
                <w:color w:val="auto"/>
                <w:spacing w:val="-3"/>
                <w:sz w:val="21"/>
                <w:szCs w:val="21"/>
                <w:lang w:val="en-US" w:eastAsia="zh-CN"/>
              </w:rPr>
            </w:pPr>
            <w:r>
              <w:rPr>
                <w:rFonts w:hint="eastAsia"/>
                <w:color w:val="auto"/>
                <w:spacing w:val="-3"/>
                <w:sz w:val="21"/>
                <w:szCs w:val="21"/>
                <w:lang w:val="en-US" w:eastAsia="zh-CN"/>
              </w:rPr>
              <w:t>14</w:t>
            </w:r>
          </w:p>
        </w:tc>
        <w:tc>
          <w:tcPr>
            <w:tcW w:w="6274"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rPr>
                <w:rFonts w:hint="eastAsia"/>
                <w:color w:val="auto"/>
                <w:spacing w:val="0"/>
                <w:sz w:val="21"/>
                <w:szCs w:val="21"/>
                <w:lang w:eastAsia="zh-CN"/>
              </w:rPr>
            </w:pPr>
            <w:r>
              <w:rPr>
                <w:rFonts w:hint="eastAsia"/>
                <w:color w:val="auto"/>
                <w:spacing w:val="0"/>
                <w:sz w:val="21"/>
                <w:szCs w:val="21"/>
                <w:lang w:val="en-US" w:eastAsia="zh-CN"/>
              </w:rPr>
              <w:t>1、</w:t>
            </w:r>
            <w:r>
              <w:rPr>
                <w:rFonts w:hint="eastAsia"/>
                <w:color w:val="auto"/>
                <w:spacing w:val="0"/>
                <w:sz w:val="21"/>
                <w:szCs w:val="21"/>
                <w:lang w:eastAsia="zh-CN"/>
              </w:rPr>
              <w:t>近五年</w:t>
            </w:r>
            <w:r>
              <w:rPr>
                <w:rFonts w:hint="eastAsia"/>
                <w:color w:val="auto"/>
                <w:spacing w:val="0"/>
                <w:sz w:val="21"/>
                <w:szCs w:val="21"/>
                <w:lang w:val="en-US" w:eastAsia="zh-CN"/>
              </w:rPr>
              <w:t>每提供</w:t>
            </w:r>
            <w:r>
              <w:rPr>
                <w:rFonts w:hint="eastAsia"/>
                <w:color w:val="auto"/>
                <w:spacing w:val="0"/>
                <w:sz w:val="21"/>
                <w:szCs w:val="21"/>
                <w:lang w:eastAsia="zh-CN"/>
              </w:rPr>
              <w:t>一个类似项目案例</w:t>
            </w:r>
            <w:r>
              <w:rPr>
                <w:rFonts w:hint="eastAsia"/>
                <w:color w:val="auto"/>
                <w:spacing w:val="0"/>
                <w:sz w:val="21"/>
                <w:szCs w:val="21"/>
                <w:lang w:val="en-US" w:eastAsia="zh-CN"/>
              </w:rPr>
              <w:t>得2分</w:t>
            </w:r>
            <w:r>
              <w:rPr>
                <w:rFonts w:hint="eastAsia"/>
                <w:color w:val="auto"/>
                <w:spacing w:val="0"/>
                <w:sz w:val="21"/>
                <w:szCs w:val="21"/>
                <w:lang w:eastAsia="zh-CN"/>
              </w:rPr>
              <w:t>（</w:t>
            </w:r>
            <w:r>
              <w:rPr>
                <w:rFonts w:hint="eastAsia"/>
                <w:color w:val="auto"/>
                <w:spacing w:val="0"/>
                <w:sz w:val="21"/>
                <w:szCs w:val="21"/>
                <w:lang w:val="en-US" w:eastAsia="zh-CN"/>
              </w:rPr>
              <w:t>内容</w:t>
            </w:r>
            <w:r>
              <w:rPr>
                <w:rFonts w:hint="eastAsia"/>
                <w:color w:val="auto"/>
                <w:spacing w:val="0"/>
                <w:sz w:val="21"/>
                <w:szCs w:val="21"/>
                <w:lang w:eastAsia="zh-CN"/>
              </w:rPr>
              <w:t>包含电子商务公共服务中心运营；电子商务培训体系建设；农产品供应链体系建设；农村电子商务营销体系建设；农村电子商务服务站体系建设；物流服务体系建设</w:t>
            </w:r>
            <w:r>
              <w:rPr>
                <w:rFonts w:hint="eastAsia"/>
                <w:color w:val="auto"/>
                <w:spacing w:val="0"/>
                <w:sz w:val="21"/>
                <w:szCs w:val="21"/>
                <w:lang w:val="en-US" w:eastAsia="zh-CN"/>
              </w:rPr>
              <w:t>等</w:t>
            </w:r>
            <w:r>
              <w:rPr>
                <w:rFonts w:hint="eastAsia"/>
                <w:color w:val="auto"/>
                <w:spacing w:val="0"/>
                <w:sz w:val="21"/>
                <w:szCs w:val="21"/>
                <w:lang w:eastAsia="zh-CN"/>
              </w:rPr>
              <w:t>），最高得</w:t>
            </w:r>
            <w:r>
              <w:rPr>
                <w:rFonts w:hint="eastAsia"/>
                <w:color w:val="auto"/>
                <w:spacing w:val="0"/>
                <w:sz w:val="21"/>
                <w:szCs w:val="21"/>
                <w:lang w:val="en-US" w:eastAsia="zh-CN"/>
              </w:rPr>
              <w:t>8</w:t>
            </w:r>
            <w:r>
              <w:rPr>
                <w:rFonts w:hint="eastAsia"/>
                <w:color w:val="auto"/>
                <w:spacing w:val="0"/>
                <w:sz w:val="21"/>
                <w:szCs w:val="21"/>
                <w:lang w:eastAsia="zh-CN"/>
              </w:rPr>
              <w:t>分，未提供不得分（以中标公告网站截图并附网址、中标通知书、合同协议书为准缺一不得分）</w:t>
            </w:r>
          </w:p>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rPr>
                <w:rFonts w:hint="eastAsia"/>
                <w:color w:val="auto"/>
                <w:spacing w:val="0"/>
                <w:sz w:val="21"/>
                <w:szCs w:val="21"/>
                <w:lang w:eastAsia="zh-CN"/>
              </w:rPr>
            </w:pPr>
            <w:r>
              <w:rPr>
                <w:rFonts w:hint="eastAsia" w:cs="宋体"/>
                <w:color w:val="auto"/>
                <w:spacing w:val="0"/>
                <w:kern w:val="2"/>
                <w:sz w:val="21"/>
                <w:szCs w:val="21"/>
                <w:lang w:val="en-US" w:eastAsia="zh-CN" w:bidi="zh-CN"/>
              </w:rPr>
              <w:t>2、</w:t>
            </w:r>
            <w:r>
              <w:rPr>
                <w:rFonts w:hint="eastAsia" w:cs="宋体"/>
                <w:color w:val="auto"/>
                <w:spacing w:val="0"/>
                <w:kern w:val="2"/>
                <w:sz w:val="21"/>
                <w:szCs w:val="21"/>
                <w:lang w:val="zh-CN" w:eastAsia="zh-CN" w:bidi="zh-CN"/>
              </w:rPr>
              <w:t>提供近五年来</w:t>
            </w:r>
            <w:r>
              <w:rPr>
                <w:rFonts w:hint="eastAsia" w:ascii="宋体" w:hAnsi="宋体" w:eastAsia="宋体" w:cs="宋体"/>
                <w:color w:val="auto"/>
                <w:spacing w:val="0"/>
                <w:kern w:val="2"/>
                <w:sz w:val="21"/>
                <w:szCs w:val="21"/>
                <w:lang w:val="zh-CN" w:eastAsia="zh-CN" w:bidi="zh-CN"/>
              </w:rPr>
              <w:t>为第三方电商平台农产品类目企业店铺代运营服务且服务单店铺满1年的成功案例（同一企业的不同店铺取销售额</w:t>
            </w:r>
            <w:r>
              <w:rPr>
                <w:rFonts w:hint="eastAsia" w:cs="宋体"/>
                <w:color w:val="auto"/>
                <w:spacing w:val="0"/>
                <w:kern w:val="2"/>
                <w:sz w:val="21"/>
                <w:szCs w:val="21"/>
                <w:lang w:val="zh-CN" w:eastAsia="zh-CN" w:bidi="zh-CN"/>
              </w:rPr>
              <w:t>最大的</w:t>
            </w:r>
            <w:r>
              <w:rPr>
                <w:rFonts w:hint="eastAsia" w:ascii="宋体" w:hAnsi="宋体" w:eastAsia="宋体" w:cs="宋体"/>
                <w:color w:val="auto"/>
                <w:spacing w:val="0"/>
                <w:kern w:val="2"/>
                <w:sz w:val="21"/>
                <w:szCs w:val="21"/>
                <w:lang w:val="zh-CN" w:eastAsia="zh-CN" w:bidi="zh-CN"/>
              </w:rPr>
              <w:t>且同一企业的不同店铺不重复计算）</w:t>
            </w:r>
            <w:r>
              <w:rPr>
                <w:rFonts w:hint="eastAsia" w:cs="宋体"/>
                <w:color w:val="auto"/>
                <w:spacing w:val="0"/>
                <w:kern w:val="2"/>
                <w:sz w:val="21"/>
                <w:szCs w:val="21"/>
                <w:lang w:val="zh-CN" w:eastAsia="zh-CN" w:bidi="zh-CN"/>
              </w:rPr>
              <w:t>，每提供一个</w:t>
            </w:r>
            <w:r>
              <w:rPr>
                <w:rFonts w:hint="eastAsia" w:ascii="宋体" w:hAnsi="宋体" w:eastAsia="宋体" w:cs="宋体"/>
                <w:color w:val="auto"/>
                <w:spacing w:val="0"/>
                <w:kern w:val="2"/>
                <w:sz w:val="21"/>
                <w:szCs w:val="21"/>
                <w:lang w:val="zh-CN" w:eastAsia="zh-CN" w:bidi="zh-CN"/>
              </w:rPr>
              <w:t>得3分</w:t>
            </w:r>
            <w:r>
              <w:rPr>
                <w:rFonts w:hint="eastAsia" w:cs="宋体"/>
                <w:color w:val="auto"/>
                <w:spacing w:val="0"/>
                <w:kern w:val="2"/>
                <w:sz w:val="21"/>
                <w:szCs w:val="21"/>
                <w:lang w:val="zh-CN" w:eastAsia="zh-CN" w:bidi="zh-CN"/>
              </w:rPr>
              <w:t>，最高得</w:t>
            </w:r>
            <w:r>
              <w:rPr>
                <w:rFonts w:hint="eastAsia" w:cs="宋体"/>
                <w:color w:val="auto"/>
                <w:spacing w:val="0"/>
                <w:kern w:val="2"/>
                <w:sz w:val="21"/>
                <w:szCs w:val="21"/>
                <w:lang w:val="en-US" w:eastAsia="zh-CN" w:bidi="zh-CN"/>
              </w:rPr>
              <w:t>6分，</w:t>
            </w:r>
            <w:r>
              <w:rPr>
                <w:rFonts w:hint="eastAsia" w:cs="宋体"/>
                <w:color w:val="auto"/>
                <w:spacing w:val="0"/>
                <w:kern w:val="2"/>
                <w:sz w:val="21"/>
                <w:szCs w:val="21"/>
                <w:lang w:val="zh-CN" w:eastAsia="zh-CN" w:bidi="zh-CN"/>
              </w:rPr>
              <w:t>未提供不得分</w:t>
            </w:r>
            <w:r>
              <w:rPr>
                <w:rFonts w:hint="eastAsia" w:ascii="宋体" w:hAnsi="宋体" w:eastAsia="宋体" w:cs="宋体"/>
                <w:color w:val="auto"/>
                <w:spacing w:val="0"/>
                <w:kern w:val="2"/>
                <w:sz w:val="21"/>
                <w:szCs w:val="21"/>
                <w:lang w:val="zh-CN" w:eastAsia="zh-CN" w:bidi="zh-CN"/>
              </w:rPr>
              <w:t>。（以代运营合同协议书、后台销售收据截图、代运营服务费用收支财务凭证证明文件为准，缺一不得分。</w:t>
            </w:r>
            <w:r>
              <w:rPr>
                <w:rFonts w:hint="eastAsia" w:cs="宋体"/>
                <w:color w:val="auto"/>
                <w:spacing w:val="0"/>
                <w:kern w:val="2"/>
                <w:sz w:val="21"/>
                <w:szCs w:val="21"/>
                <w:lang w:val="zh-CN" w:eastAsia="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color w:val="auto"/>
                <w:spacing w:val="-3"/>
                <w:sz w:val="21"/>
                <w:szCs w:val="21"/>
              </w:rPr>
            </w:pPr>
          </w:p>
        </w:tc>
        <w:tc>
          <w:tcPr>
            <w:tcW w:w="919" w:type="dxa"/>
            <w:gridSpan w:val="2"/>
            <w:vMerge w:val="restart"/>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rFonts w:hint="eastAsia"/>
                <w:color w:val="auto"/>
                <w:spacing w:val="-3"/>
                <w:sz w:val="21"/>
                <w:szCs w:val="21"/>
                <w:lang w:val="en-US" w:eastAsia="zh-CN"/>
              </w:rPr>
            </w:pPr>
            <w:r>
              <w:rPr>
                <w:rFonts w:hint="eastAsia"/>
                <w:color w:val="auto"/>
                <w:spacing w:val="-3"/>
                <w:sz w:val="21"/>
                <w:szCs w:val="21"/>
                <w:lang w:val="en-US" w:eastAsia="zh-CN"/>
              </w:rPr>
              <w:t>财务状况</w:t>
            </w:r>
          </w:p>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rFonts w:hint="default"/>
                <w:color w:val="auto"/>
                <w:spacing w:val="-3"/>
                <w:sz w:val="21"/>
                <w:szCs w:val="21"/>
                <w:lang w:val="en-US" w:eastAsia="zh-CN"/>
              </w:rPr>
            </w:pPr>
            <w:r>
              <w:rPr>
                <w:rFonts w:hint="eastAsia"/>
                <w:color w:val="auto"/>
                <w:spacing w:val="-3"/>
                <w:sz w:val="21"/>
                <w:szCs w:val="21"/>
                <w:lang w:val="en-US" w:eastAsia="zh-CN"/>
              </w:rPr>
              <w:t>（3分）</w:t>
            </w:r>
          </w:p>
        </w:tc>
        <w:tc>
          <w:tcPr>
            <w:tcW w:w="799" w:type="dxa"/>
            <w:vMerge w:val="restart"/>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center"/>
              <w:textAlignment w:val="auto"/>
              <w:rPr>
                <w:rFonts w:hint="default"/>
                <w:color w:val="auto"/>
                <w:spacing w:val="-3"/>
                <w:sz w:val="21"/>
                <w:szCs w:val="21"/>
                <w:lang w:val="en-US" w:eastAsia="zh-CN"/>
              </w:rPr>
            </w:pPr>
            <w:r>
              <w:rPr>
                <w:rFonts w:hint="eastAsia"/>
                <w:color w:val="auto"/>
                <w:spacing w:val="-3"/>
                <w:sz w:val="21"/>
                <w:szCs w:val="21"/>
                <w:lang w:val="en-US" w:eastAsia="zh-CN"/>
              </w:rPr>
              <w:t>3</w:t>
            </w:r>
          </w:p>
        </w:tc>
        <w:tc>
          <w:tcPr>
            <w:tcW w:w="6274"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rPr>
                <w:rFonts w:hint="default"/>
                <w:color w:val="auto"/>
                <w:spacing w:val="0"/>
                <w:sz w:val="21"/>
                <w:szCs w:val="21"/>
                <w:lang w:val="en-US" w:eastAsia="zh-CN"/>
              </w:rPr>
            </w:pPr>
            <w:r>
              <w:rPr>
                <w:rFonts w:hint="eastAsia"/>
                <w:color w:val="auto"/>
                <w:spacing w:val="0"/>
                <w:sz w:val="21"/>
                <w:szCs w:val="21"/>
                <w:lang w:val="en-US" w:eastAsia="zh-CN"/>
              </w:rPr>
              <w:t>1、资产负债率：50%以下记1.5分，50%（含）—70%记1分，70%（含）以上记0.5分；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6" w:hRule="atLeast"/>
        </w:trPr>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both"/>
              <w:textAlignment w:val="auto"/>
            </w:pPr>
          </w:p>
        </w:tc>
        <w:tc>
          <w:tcPr>
            <w:tcW w:w="919" w:type="dxa"/>
            <w:gridSpan w:val="2"/>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both"/>
              <w:textAlignment w:val="auto"/>
            </w:pPr>
          </w:p>
        </w:tc>
        <w:tc>
          <w:tcPr>
            <w:tcW w:w="799"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46" w:leftChars="0" w:right="45" w:rightChars="0" w:hanging="146" w:firstLineChars="0"/>
              <w:jc w:val="both"/>
              <w:textAlignment w:val="auto"/>
            </w:pPr>
          </w:p>
        </w:tc>
        <w:tc>
          <w:tcPr>
            <w:tcW w:w="6274"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rPr>
                <w:rFonts w:hint="default"/>
                <w:color w:val="auto"/>
                <w:spacing w:val="0"/>
                <w:sz w:val="21"/>
                <w:szCs w:val="21"/>
                <w:lang w:val="en-US" w:eastAsia="zh-CN"/>
              </w:rPr>
            </w:pPr>
            <w:r>
              <w:rPr>
                <w:rFonts w:hint="eastAsia"/>
                <w:color w:val="auto"/>
                <w:spacing w:val="0"/>
                <w:sz w:val="21"/>
                <w:szCs w:val="21"/>
                <w:lang w:val="en-US" w:eastAsia="zh-CN"/>
              </w:rPr>
              <w:t>2、资产净收益率：10%（含）以上记1.5分，10%（含）-5%记1分，5%-0（不含）以下记0.5分（提供相关证明材料）。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trPr>
        <w:tc>
          <w:tcPr>
            <w:tcW w:w="919" w:type="dxa"/>
            <w:gridSpan w:val="2"/>
            <w:vMerge w:val="restart"/>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216" w:leftChars="0" w:right="75" w:rightChars="0" w:hanging="216" w:hangingChars="103"/>
              <w:jc w:val="center"/>
              <w:textAlignment w:val="auto"/>
              <w:rPr>
                <w:rFonts w:hint="eastAsia" w:ascii="宋体" w:hAnsi="宋体" w:eastAsia="宋体" w:cs="宋体"/>
                <w:spacing w:val="0"/>
                <w:sz w:val="21"/>
                <w:szCs w:val="21"/>
              </w:rPr>
            </w:pPr>
            <w:r>
              <w:rPr>
                <w:rFonts w:hint="eastAsia" w:ascii="宋体" w:hAnsi="宋体" w:eastAsia="宋体" w:cs="宋体"/>
                <w:spacing w:val="0"/>
                <w:sz w:val="21"/>
                <w:szCs w:val="21"/>
              </w:rPr>
              <w:t>技术</w:t>
            </w:r>
          </w:p>
          <w:p>
            <w:pPr>
              <w:pStyle w:val="47"/>
              <w:keepNext w:val="0"/>
              <w:keepLines w:val="0"/>
              <w:pageBreakBefore w:val="0"/>
              <w:widowControl w:val="0"/>
              <w:kinsoku/>
              <w:wordWrap/>
              <w:overflowPunct/>
              <w:topLinePunct w:val="0"/>
              <w:autoSpaceDE/>
              <w:autoSpaceDN/>
              <w:bidi w:val="0"/>
              <w:adjustRightInd/>
              <w:snapToGrid/>
              <w:spacing w:line="400" w:lineRule="exact"/>
              <w:ind w:left="216" w:leftChars="0" w:right="75" w:rightChars="0" w:hanging="216" w:hangingChars="103"/>
              <w:jc w:val="center"/>
              <w:textAlignment w:val="auto"/>
              <w:rPr>
                <w:rFonts w:hint="eastAsia" w:ascii="宋体" w:hAnsi="宋体" w:eastAsia="宋体" w:cs="宋体"/>
                <w:spacing w:val="0"/>
                <w:sz w:val="21"/>
                <w:szCs w:val="21"/>
              </w:rPr>
            </w:pPr>
            <w:r>
              <w:rPr>
                <w:rFonts w:hint="eastAsia" w:ascii="宋体" w:hAnsi="宋体" w:eastAsia="宋体" w:cs="宋体"/>
                <w:spacing w:val="0"/>
                <w:sz w:val="21"/>
                <w:szCs w:val="21"/>
              </w:rPr>
              <w:t>部分</w:t>
            </w:r>
          </w:p>
          <w:p>
            <w:pPr>
              <w:pStyle w:val="47"/>
              <w:keepNext w:val="0"/>
              <w:keepLines w:val="0"/>
              <w:pageBreakBefore w:val="0"/>
              <w:widowControl w:val="0"/>
              <w:kinsoku/>
              <w:wordWrap/>
              <w:overflowPunct/>
              <w:topLinePunct w:val="0"/>
              <w:autoSpaceDE/>
              <w:autoSpaceDN/>
              <w:bidi w:val="0"/>
              <w:adjustRightInd/>
              <w:snapToGrid/>
              <w:spacing w:line="400" w:lineRule="exact"/>
              <w:ind w:left="216" w:leftChars="0" w:right="75" w:rightChars="0" w:hanging="216" w:hangingChars="103"/>
              <w:jc w:val="center"/>
              <w:textAlignment w:val="auto"/>
              <w:rPr>
                <w:color w:val="auto"/>
                <w:sz w:val="21"/>
                <w:szCs w:val="21"/>
              </w:rPr>
            </w:pPr>
            <w:r>
              <w:rPr>
                <w:rFonts w:hint="eastAsia" w:ascii="宋体" w:hAnsi="宋体" w:eastAsia="宋体" w:cs="宋体"/>
                <w:spacing w:val="0"/>
                <w:sz w:val="21"/>
                <w:szCs w:val="21"/>
              </w:rPr>
              <w:t>（</w:t>
            </w:r>
            <w:r>
              <w:rPr>
                <w:rFonts w:hint="eastAsia" w:cs="宋体"/>
                <w:spacing w:val="0"/>
                <w:sz w:val="21"/>
                <w:szCs w:val="21"/>
                <w:lang w:val="en-US" w:eastAsia="zh-CN"/>
              </w:rPr>
              <w:t>55</w:t>
            </w:r>
            <w:r>
              <w:rPr>
                <w:rFonts w:hint="eastAsia" w:ascii="宋体" w:hAnsi="宋体" w:eastAsia="宋体" w:cs="宋体"/>
                <w:spacing w:val="0"/>
                <w:sz w:val="21"/>
                <w:szCs w:val="21"/>
              </w:rPr>
              <w:t>分）</w:t>
            </w:r>
          </w:p>
        </w:tc>
        <w:tc>
          <w:tcPr>
            <w:tcW w:w="918"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宋体" w:hAnsi="宋体" w:eastAsia="宋体" w:cs="宋体"/>
                <w:spacing w:val="0"/>
                <w:sz w:val="21"/>
                <w:szCs w:val="21"/>
              </w:rPr>
            </w:pPr>
            <w:r>
              <w:rPr>
                <w:rFonts w:hint="eastAsia" w:ascii="宋体" w:hAnsi="宋体" w:eastAsia="宋体" w:cs="宋体"/>
                <w:spacing w:val="0"/>
                <w:sz w:val="21"/>
                <w:szCs w:val="21"/>
              </w:rPr>
              <w:t>大数据分析能力</w:t>
            </w:r>
          </w:p>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spacing w:val="0"/>
                <w:sz w:val="21"/>
                <w:szCs w:val="21"/>
              </w:rPr>
              <w:t>（</w:t>
            </w:r>
            <w:r>
              <w:rPr>
                <w:rFonts w:hint="eastAsia" w:cs="宋体"/>
                <w:spacing w:val="0"/>
                <w:sz w:val="21"/>
                <w:szCs w:val="21"/>
                <w:lang w:val="en-US" w:eastAsia="zh-CN"/>
              </w:rPr>
              <w:t>9</w:t>
            </w:r>
            <w:r>
              <w:rPr>
                <w:rFonts w:hint="eastAsia" w:ascii="宋体" w:hAnsi="宋体" w:eastAsia="宋体" w:cs="宋体"/>
                <w:spacing w:val="0"/>
                <w:sz w:val="21"/>
                <w:szCs w:val="21"/>
              </w:rPr>
              <w:t>分</w:t>
            </w:r>
            <w:r>
              <w:rPr>
                <w:rFonts w:hint="eastAsia" w:cs="宋体"/>
                <w:spacing w:val="0"/>
                <w:sz w:val="21"/>
                <w:szCs w:val="21"/>
                <w:lang w:eastAsia="zh-CN"/>
              </w:rPr>
              <w:t>）</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right="0" w:rightChars="0" w:firstLine="0"/>
              <w:jc w:val="center"/>
              <w:textAlignment w:val="auto"/>
              <w:outlineLvl w:val="9"/>
              <w:rPr>
                <w:rFonts w:hint="eastAsia" w:ascii="Times New Roman" w:hAnsi="宋体" w:eastAsia="宋体" w:cs="宋体"/>
                <w:color w:val="auto"/>
                <w:kern w:val="2"/>
                <w:sz w:val="21"/>
                <w:szCs w:val="21"/>
                <w:lang w:val="zh-CN" w:eastAsia="zh-CN" w:bidi="zh-CN"/>
              </w:rPr>
            </w:pPr>
            <w:r>
              <w:rPr>
                <w:rFonts w:hint="eastAsia" w:ascii="Times New Roman" w:cs="宋体"/>
                <w:color w:val="auto"/>
                <w:kern w:val="2"/>
                <w:sz w:val="21"/>
                <w:szCs w:val="21"/>
                <w:lang w:val="en-US" w:eastAsia="zh-CN" w:bidi="zh-CN"/>
              </w:rPr>
              <w:t>9</w:t>
            </w:r>
          </w:p>
        </w:tc>
        <w:tc>
          <w:tcPr>
            <w:tcW w:w="6274" w:type="dxa"/>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宋体"/>
                <w:spacing w:val="0"/>
                <w:kern w:val="2"/>
                <w:sz w:val="21"/>
                <w:szCs w:val="21"/>
                <w:lang w:val="zh-CN" w:eastAsia="zh-CN" w:bidi="zh-CN"/>
              </w:rPr>
            </w:pPr>
            <w:r>
              <w:rPr>
                <w:rFonts w:hint="eastAsia" w:cs="宋体"/>
                <w:spacing w:val="0"/>
                <w:kern w:val="2"/>
                <w:sz w:val="21"/>
                <w:szCs w:val="21"/>
                <w:lang w:val="en-US" w:eastAsia="zh-CN" w:bidi="zh-CN"/>
              </w:rPr>
              <w:t>提供大数据分析能力的类似案例（含</w:t>
            </w:r>
            <w:r>
              <w:rPr>
                <w:rFonts w:hint="eastAsia" w:ascii="宋体" w:hAnsi="宋体" w:eastAsia="宋体" w:cs="宋体"/>
                <w:spacing w:val="0"/>
                <w:kern w:val="2"/>
                <w:sz w:val="21"/>
                <w:szCs w:val="21"/>
                <w:lang w:val="zh-CN" w:eastAsia="zh-CN" w:bidi="zh-CN"/>
              </w:rPr>
              <w:t>特色农村产品、扶贫信息、营销资料、站点等数据分析利用能力</w:t>
            </w:r>
            <w:r>
              <w:rPr>
                <w:rFonts w:hint="eastAsia" w:cs="宋体"/>
                <w:spacing w:val="0"/>
                <w:kern w:val="2"/>
                <w:sz w:val="21"/>
                <w:szCs w:val="21"/>
                <w:lang w:val="zh-CN" w:eastAsia="zh-CN" w:bidi="zh-CN"/>
              </w:rPr>
              <w:t>，</w:t>
            </w:r>
            <w:r>
              <w:rPr>
                <w:rFonts w:hint="eastAsia" w:cs="宋体"/>
                <w:spacing w:val="0"/>
                <w:kern w:val="2"/>
                <w:sz w:val="21"/>
                <w:szCs w:val="21"/>
                <w:lang w:val="en-US" w:eastAsia="zh-CN" w:bidi="zh-CN"/>
              </w:rPr>
              <w:t>并</w:t>
            </w:r>
            <w:r>
              <w:rPr>
                <w:rFonts w:hint="eastAsia" w:ascii="宋体" w:hAnsi="宋体" w:eastAsia="宋体" w:cs="宋体"/>
                <w:spacing w:val="0"/>
                <w:kern w:val="2"/>
                <w:sz w:val="21"/>
                <w:szCs w:val="21"/>
                <w:lang w:val="zh-CN" w:eastAsia="zh-CN" w:bidi="zh-CN"/>
              </w:rPr>
              <w:t>能按时、按质上报电子商务数据的</w:t>
            </w:r>
            <w:r>
              <w:rPr>
                <w:rFonts w:hint="eastAsia" w:cs="宋体"/>
                <w:spacing w:val="0"/>
                <w:kern w:val="2"/>
                <w:sz w:val="21"/>
                <w:szCs w:val="21"/>
                <w:lang w:val="en-US" w:eastAsia="zh-CN" w:bidi="zh-CN"/>
              </w:rPr>
              <w:t>）</w:t>
            </w:r>
            <w:r>
              <w:rPr>
                <w:rFonts w:hint="eastAsia" w:ascii="宋体" w:hAnsi="宋体" w:eastAsia="宋体" w:cs="宋体"/>
                <w:spacing w:val="0"/>
                <w:kern w:val="2"/>
                <w:sz w:val="21"/>
                <w:szCs w:val="21"/>
                <w:lang w:val="zh-CN" w:eastAsia="zh-CN" w:bidi="zh-CN"/>
              </w:rPr>
              <w:t>。</w:t>
            </w:r>
          </w:p>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宋体"/>
                <w:spacing w:val="0"/>
                <w:kern w:val="2"/>
                <w:sz w:val="21"/>
                <w:szCs w:val="21"/>
                <w:lang w:val="zh-CN" w:eastAsia="zh-CN" w:bidi="zh-CN"/>
              </w:rPr>
            </w:pPr>
            <w:r>
              <w:rPr>
                <w:rFonts w:hint="eastAsia" w:ascii="宋体" w:hAnsi="宋体" w:eastAsia="宋体" w:cs="宋体"/>
                <w:spacing w:val="0"/>
                <w:kern w:val="2"/>
                <w:sz w:val="21"/>
                <w:szCs w:val="21"/>
                <w:lang w:val="zh-CN" w:eastAsia="zh-CN" w:bidi="zh-CN"/>
              </w:rPr>
              <w:t>每提供一个案例得1.5分，最高得</w:t>
            </w:r>
            <w:r>
              <w:rPr>
                <w:rFonts w:hint="eastAsia" w:cs="宋体"/>
                <w:spacing w:val="0"/>
                <w:kern w:val="2"/>
                <w:sz w:val="21"/>
                <w:szCs w:val="21"/>
                <w:lang w:val="en-US" w:eastAsia="zh-CN" w:bidi="zh-CN"/>
              </w:rPr>
              <w:t>9</w:t>
            </w:r>
            <w:r>
              <w:rPr>
                <w:rFonts w:hint="eastAsia" w:ascii="宋体" w:hAnsi="宋体" w:eastAsia="宋体" w:cs="宋体"/>
                <w:spacing w:val="0"/>
                <w:kern w:val="2"/>
                <w:sz w:val="21"/>
                <w:szCs w:val="21"/>
                <w:lang w:val="zh-CN" w:eastAsia="zh-CN" w:bidi="zh-CN"/>
              </w:rPr>
              <w:t>分</w:t>
            </w:r>
            <w:r>
              <w:rPr>
                <w:rFonts w:hint="eastAsia" w:cs="宋体"/>
                <w:spacing w:val="0"/>
                <w:kern w:val="2"/>
                <w:sz w:val="21"/>
                <w:szCs w:val="21"/>
                <w:lang w:val="zh-CN" w:eastAsia="zh-CN" w:bidi="zh-CN"/>
              </w:rPr>
              <w:t>，未提供不得分</w:t>
            </w:r>
            <w:r>
              <w:rPr>
                <w:rFonts w:hint="eastAsia" w:ascii="宋体" w:hAnsi="宋体" w:eastAsia="宋体" w:cs="宋体"/>
                <w:spacing w:val="0"/>
                <w:kern w:val="2"/>
                <w:sz w:val="21"/>
                <w:szCs w:val="21"/>
                <w:lang w:val="zh-CN" w:eastAsia="zh-CN" w:bidi="zh-CN"/>
              </w:rPr>
              <w:t>。</w:t>
            </w:r>
            <w:r>
              <w:rPr>
                <w:rFonts w:hint="eastAsia" w:cs="宋体"/>
                <w:spacing w:val="0"/>
                <w:kern w:val="2"/>
                <w:sz w:val="21"/>
                <w:szCs w:val="21"/>
                <w:lang w:val="en-US" w:eastAsia="zh-CN" w:bidi="zh-CN"/>
              </w:rPr>
              <w:t>（提供相关证明材料）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lang w:val="en-US" w:eastAsia="zh-CN"/>
              </w:rPr>
            </w:pPr>
            <w:r>
              <w:rPr>
                <w:rFonts w:hint="eastAsia"/>
                <w:lang w:val="en-US" w:eastAsia="zh-CN"/>
              </w:rPr>
              <w:t>品牌打造能力</w:t>
            </w:r>
          </w:p>
          <w:p>
            <w:pPr>
              <w:pStyle w:val="22"/>
              <w:keepNext w:val="0"/>
              <w:keepLines w:val="0"/>
              <w:pageBreakBefore w:val="0"/>
              <w:widowControl w:val="0"/>
              <w:kinsoku/>
              <w:wordWrap/>
              <w:overflowPunct/>
              <w:topLinePunct w:val="0"/>
              <w:autoSpaceDE/>
              <w:autoSpaceDN/>
              <w:bidi w:val="0"/>
              <w:adjustRightInd/>
              <w:snapToGrid/>
              <w:ind w:left="0" w:right="0" w:firstLine="0" w:firstLineChars="0"/>
              <w:textAlignment w:val="auto"/>
              <w:outlineLvl w:val="9"/>
              <w:rPr>
                <w:rFonts w:hint="default"/>
                <w:lang w:val="en-US" w:eastAsia="zh-CN"/>
              </w:rPr>
            </w:pPr>
            <w:r>
              <w:rPr>
                <w:rFonts w:hint="eastAsia"/>
                <w:color w:val="auto"/>
                <w:sz w:val="21"/>
                <w:szCs w:val="21"/>
                <w:lang w:val="en-US" w:eastAsia="zh-CN"/>
              </w:rPr>
              <w:t>（5分）</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right="79" w:rightChars="0"/>
              <w:jc w:val="center"/>
              <w:textAlignment w:val="auto"/>
              <w:rPr>
                <w:rFonts w:hint="default" w:ascii="Times New Roman" w:cs="宋体"/>
                <w:color w:val="auto"/>
                <w:kern w:val="2"/>
                <w:sz w:val="21"/>
                <w:szCs w:val="21"/>
                <w:lang w:val="en-US" w:eastAsia="zh-CN" w:bidi="zh-CN"/>
              </w:rPr>
            </w:pPr>
            <w:r>
              <w:rPr>
                <w:rFonts w:hint="eastAsia" w:ascii="Times New Roman" w:cs="宋体"/>
                <w:color w:val="auto"/>
                <w:kern w:val="2"/>
                <w:sz w:val="21"/>
                <w:szCs w:val="21"/>
                <w:lang w:val="en-US" w:eastAsia="zh-CN" w:bidi="zh-CN"/>
              </w:rPr>
              <w:t>6</w:t>
            </w:r>
          </w:p>
        </w:tc>
        <w:tc>
          <w:tcPr>
            <w:tcW w:w="6274"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jc w:val="both"/>
              <w:textAlignment w:val="auto"/>
              <w:rPr>
                <w:rFonts w:hint="eastAsia" w:ascii="宋体" w:hAnsi="宋体" w:eastAsia="宋体" w:cs="宋体"/>
                <w:spacing w:val="0"/>
                <w:kern w:val="2"/>
                <w:sz w:val="21"/>
                <w:szCs w:val="21"/>
                <w:lang w:val="zh-CN" w:eastAsia="zh-CN" w:bidi="zh-CN"/>
              </w:rPr>
            </w:pPr>
            <w:r>
              <w:rPr>
                <w:rFonts w:hint="eastAsia"/>
                <w:color w:val="auto"/>
                <w:sz w:val="21"/>
                <w:szCs w:val="21"/>
                <w:lang w:eastAsia="zh-CN"/>
              </w:rPr>
              <w:t>投标人团队人员有从事第三方电商平台特色馆运营案例的得</w:t>
            </w:r>
            <w:r>
              <w:rPr>
                <w:rFonts w:hint="eastAsia"/>
                <w:color w:val="auto"/>
                <w:sz w:val="21"/>
                <w:szCs w:val="21"/>
                <w:lang w:val="en-US" w:eastAsia="zh-CN"/>
              </w:rPr>
              <w:t>3分；提供类似0T0农产品展示中心的得3分，</w:t>
            </w:r>
            <w:r>
              <w:rPr>
                <w:rFonts w:hint="eastAsia" w:cs="宋体"/>
                <w:spacing w:val="0"/>
                <w:kern w:val="2"/>
                <w:sz w:val="21"/>
                <w:szCs w:val="21"/>
                <w:lang w:val="en-US" w:eastAsia="zh-CN" w:bidi="zh-CN"/>
              </w:rPr>
              <w:t>未提供不得分（提供相关证明材料）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tcBorders>
              <w:top w:val="single" w:color="auto" w:sz="4" w:space="0"/>
              <w:bottom w:val="single" w:color="auto" w:sz="4" w:space="0"/>
            </w:tcBorders>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jc w:val="center"/>
              <w:textAlignment w:val="auto"/>
              <w:rPr>
                <w:rFonts w:hint="eastAsia" w:ascii="宋体" w:hAnsi="宋体" w:eastAsia="宋体" w:cs="宋体"/>
                <w:spacing w:val="0"/>
                <w:sz w:val="21"/>
                <w:szCs w:val="21"/>
                <w:lang w:eastAsia="zh-CN"/>
              </w:rPr>
            </w:pPr>
            <w:r>
              <w:rPr>
                <w:rFonts w:hint="eastAsia" w:cs="宋体"/>
                <w:spacing w:val="0"/>
                <w:sz w:val="21"/>
                <w:szCs w:val="21"/>
                <w:lang w:val="en-US" w:eastAsia="zh-CN"/>
              </w:rPr>
              <w:t>营销能力</w:t>
            </w:r>
            <w:r>
              <w:rPr>
                <w:rFonts w:hint="eastAsia" w:ascii="宋体" w:hAnsi="宋体" w:eastAsia="宋体" w:cs="宋体"/>
                <w:spacing w:val="0"/>
                <w:sz w:val="21"/>
                <w:szCs w:val="21"/>
              </w:rPr>
              <w:t>（</w:t>
            </w:r>
            <w:r>
              <w:rPr>
                <w:rFonts w:hint="eastAsia" w:cs="宋体"/>
                <w:spacing w:val="0"/>
                <w:sz w:val="21"/>
                <w:szCs w:val="21"/>
                <w:lang w:val="en-US" w:eastAsia="zh-CN"/>
              </w:rPr>
              <w:t>5</w:t>
            </w:r>
            <w:r>
              <w:rPr>
                <w:rFonts w:hint="eastAsia" w:ascii="宋体" w:hAnsi="宋体" w:eastAsia="宋体" w:cs="宋体"/>
                <w:spacing w:val="0"/>
                <w:sz w:val="21"/>
                <w:szCs w:val="21"/>
              </w:rPr>
              <w:t>分</w:t>
            </w:r>
            <w:r>
              <w:rPr>
                <w:rFonts w:hint="eastAsia" w:cs="宋体"/>
                <w:spacing w:val="0"/>
                <w:sz w:val="21"/>
                <w:szCs w:val="21"/>
                <w:lang w:eastAsia="zh-CN"/>
              </w:rPr>
              <w:t>）</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eastAsia" w:cs="宋体"/>
                <w:spacing w:val="0"/>
                <w:sz w:val="21"/>
                <w:szCs w:val="21"/>
                <w:lang w:val="en-US" w:eastAsia="zh-CN"/>
              </w:rPr>
            </w:pPr>
            <w:r>
              <w:rPr>
                <w:rFonts w:hint="eastAsia" w:cs="宋体"/>
                <w:spacing w:val="0"/>
                <w:sz w:val="21"/>
                <w:szCs w:val="21"/>
                <w:lang w:val="en-US" w:eastAsia="zh-CN"/>
              </w:rPr>
              <w:t>5</w:t>
            </w:r>
          </w:p>
        </w:tc>
        <w:tc>
          <w:tcPr>
            <w:tcW w:w="6274" w:type="dxa"/>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eastAsia"/>
                <w:color w:val="auto"/>
                <w:sz w:val="21"/>
                <w:szCs w:val="21"/>
                <w:lang w:val="en-US" w:eastAsia="zh-CN"/>
              </w:rPr>
            </w:pPr>
            <w:r>
              <w:rPr>
                <w:rFonts w:hint="eastAsia"/>
                <w:color w:val="auto"/>
                <w:sz w:val="21"/>
                <w:szCs w:val="21"/>
                <w:lang w:val="en-US" w:eastAsia="zh-CN"/>
              </w:rPr>
              <w:t>农村产品上行体系方案：</w:t>
            </w:r>
          </w:p>
          <w:p>
            <w:pPr>
              <w:pStyle w:val="47"/>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0" w:leftChars="0" w:right="0" w:firstLine="420" w:firstLineChars="200"/>
              <w:textAlignment w:val="auto"/>
              <w:rPr>
                <w:rFonts w:hint="eastAsia"/>
                <w:color w:val="auto"/>
                <w:sz w:val="21"/>
                <w:szCs w:val="21"/>
                <w:lang w:val="en-US" w:eastAsia="zh-CN"/>
              </w:rPr>
            </w:pPr>
            <w:r>
              <w:rPr>
                <w:rFonts w:hint="eastAsia"/>
                <w:color w:val="auto"/>
                <w:sz w:val="21"/>
                <w:szCs w:val="21"/>
                <w:lang w:val="en-US" w:eastAsia="zh-CN"/>
              </w:rPr>
              <w:t>提供公共品牌打造、农产品营销推广、农产品溯源等方案满足采购需求的得 3 分，未提供不得分；</w:t>
            </w:r>
          </w:p>
          <w:p>
            <w:pPr>
              <w:pStyle w:val="47"/>
              <w:keepNext w:val="0"/>
              <w:keepLines w:val="0"/>
              <w:pageBreakBefore w:val="0"/>
              <w:widowControl w:val="0"/>
              <w:numPr>
                <w:ilvl w:val="0"/>
                <w:numId w:val="10"/>
              </w:numPr>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宋体"/>
                <w:spacing w:val="0"/>
                <w:kern w:val="2"/>
                <w:sz w:val="21"/>
                <w:szCs w:val="21"/>
                <w:lang w:val="zh-CN" w:eastAsia="zh-CN" w:bidi="zh-CN"/>
              </w:rPr>
            </w:pPr>
            <w:r>
              <w:rPr>
                <w:rFonts w:hint="eastAsia"/>
                <w:color w:val="auto"/>
                <w:sz w:val="21"/>
                <w:szCs w:val="21"/>
                <w:lang w:val="en-US" w:eastAsia="zh-CN"/>
              </w:rPr>
              <w:t>提供预算清晰，目标明确，符合采购方资金管理方案的得 2分，未提供不得分。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Merge w:val="restart"/>
            <w:tcBorders>
              <w:top w:val="single" w:color="auto" w:sz="4" w:space="0"/>
            </w:tcBorders>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jc w:val="center"/>
              <w:textAlignment w:val="auto"/>
              <w:rPr>
                <w:rFonts w:hint="eastAsia" w:ascii="宋体" w:hAnsi="宋体" w:eastAsia="宋体" w:cs="宋体"/>
                <w:spacing w:val="0"/>
                <w:sz w:val="21"/>
                <w:szCs w:val="21"/>
              </w:rPr>
            </w:pPr>
            <w:r>
              <w:rPr>
                <w:rFonts w:hint="eastAsia" w:cs="宋体"/>
                <w:spacing w:val="0"/>
                <w:sz w:val="21"/>
                <w:szCs w:val="21"/>
                <w:lang w:val="en-US" w:eastAsia="zh-CN"/>
              </w:rPr>
              <w:t>区级和</w:t>
            </w:r>
            <w:r>
              <w:rPr>
                <w:rFonts w:hint="eastAsia" w:ascii="宋体" w:hAnsi="宋体" w:eastAsia="宋体" w:cs="宋体"/>
                <w:spacing w:val="0"/>
                <w:sz w:val="21"/>
                <w:szCs w:val="21"/>
              </w:rPr>
              <w:t>站点建设能力</w:t>
            </w:r>
          </w:p>
          <w:p>
            <w:pPr>
              <w:pStyle w:val="47"/>
              <w:keepNext w:val="0"/>
              <w:keepLines w:val="0"/>
              <w:pageBreakBefore w:val="0"/>
              <w:widowControl w:val="0"/>
              <w:kinsoku/>
              <w:wordWrap/>
              <w:overflowPunct/>
              <w:topLinePunct w:val="0"/>
              <w:autoSpaceDE/>
              <w:autoSpaceDN/>
              <w:bidi w:val="0"/>
              <w:adjustRightInd/>
              <w:snapToGrid/>
              <w:spacing w:line="400" w:lineRule="exact"/>
              <w:ind w:left="15" w:leftChars="0"/>
              <w:jc w:val="center"/>
              <w:textAlignment w:val="auto"/>
              <w:rPr>
                <w:rFonts w:hint="eastAsia" w:ascii="宋体" w:hAnsi="宋体" w:eastAsia="宋体" w:cs="宋体"/>
                <w:spacing w:val="0"/>
                <w:sz w:val="21"/>
                <w:szCs w:val="21"/>
              </w:rPr>
            </w:pPr>
            <w:r>
              <w:rPr>
                <w:rFonts w:hint="eastAsia" w:ascii="宋体" w:hAnsi="宋体" w:eastAsia="宋体" w:cs="宋体"/>
                <w:spacing w:val="0"/>
                <w:sz w:val="21"/>
                <w:szCs w:val="21"/>
              </w:rPr>
              <w:t>（</w:t>
            </w:r>
            <w:r>
              <w:rPr>
                <w:rFonts w:hint="eastAsia" w:cs="宋体"/>
                <w:spacing w:val="0"/>
                <w:sz w:val="21"/>
                <w:szCs w:val="21"/>
                <w:lang w:val="en-US" w:eastAsia="zh-CN"/>
              </w:rPr>
              <w:t>26</w:t>
            </w:r>
            <w:r>
              <w:rPr>
                <w:rFonts w:hint="eastAsia" w:ascii="宋体" w:hAnsi="宋体" w:eastAsia="宋体" w:cs="宋体"/>
                <w:spacing w:val="0"/>
                <w:sz w:val="21"/>
                <w:szCs w:val="21"/>
              </w:rPr>
              <w:t>分）</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default" w:cs="宋体"/>
                <w:color w:val="auto"/>
                <w:spacing w:val="0"/>
                <w:sz w:val="21"/>
                <w:szCs w:val="21"/>
                <w:lang w:val="en-US" w:eastAsia="zh-CN"/>
              </w:rPr>
            </w:pPr>
            <w:r>
              <w:rPr>
                <w:rFonts w:hint="eastAsia" w:cs="宋体"/>
                <w:color w:val="auto"/>
                <w:spacing w:val="0"/>
                <w:sz w:val="21"/>
                <w:szCs w:val="21"/>
                <w:lang w:val="en-US" w:eastAsia="zh-CN"/>
              </w:rPr>
              <w:t>6</w:t>
            </w:r>
          </w:p>
        </w:tc>
        <w:tc>
          <w:tcPr>
            <w:tcW w:w="6274" w:type="dxa"/>
            <w:vAlign w:val="center"/>
          </w:tcPr>
          <w:p>
            <w:pPr>
              <w:pStyle w:val="47"/>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区级电子商务公共服务中心建设能力：</w:t>
            </w:r>
          </w:p>
          <w:p>
            <w:pPr>
              <w:pStyle w:val="47"/>
              <w:numPr>
                <w:ilvl w:val="0"/>
                <w:numId w:val="11"/>
              </w:numPr>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提供具有运营建设和公共服务中心的运营能力的得3分，未提供不得分；</w:t>
            </w:r>
          </w:p>
          <w:p>
            <w:pPr>
              <w:pStyle w:val="47"/>
              <w:numPr>
                <w:ilvl w:val="0"/>
                <w:numId w:val="11"/>
              </w:numPr>
              <w:spacing w:before="13" w:line="249" w:lineRule="auto"/>
              <w:ind w:left="0" w:leftChars="0" w:right="93" w:rightChars="0" w:firstLine="420" w:firstLineChars="200"/>
              <w:jc w:val="both"/>
              <w:rPr>
                <w:rFonts w:hint="default" w:ascii="宋体" w:hAnsi="宋体" w:eastAsia="宋体" w:cs="宋体"/>
                <w:color w:val="auto"/>
                <w:kern w:val="2"/>
                <w:sz w:val="21"/>
                <w:szCs w:val="21"/>
                <w:lang w:val="en-US" w:eastAsia="zh-CN" w:bidi="zh-CN"/>
              </w:rPr>
            </w:pPr>
            <w:r>
              <w:rPr>
                <w:rFonts w:hint="eastAsia"/>
                <w:color w:val="auto"/>
                <w:sz w:val="21"/>
                <w:szCs w:val="21"/>
                <w:lang w:val="en-US" w:eastAsia="zh-CN"/>
              </w:rPr>
              <w:t>有专门用于运营服务中心场地的得 3分，</w:t>
            </w:r>
            <w:r>
              <w:rPr>
                <w:rFonts w:hint="eastAsia" w:cs="宋体"/>
                <w:color w:val="auto"/>
                <w:spacing w:val="0"/>
                <w:kern w:val="2"/>
                <w:sz w:val="21"/>
                <w:szCs w:val="21"/>
                <w:lang w:val="en-US" w:eastAsia="zh-CN" w:bidi="zh-CN"/>
              </w:rPr>
              <w:t>未提供不得分。（提供相关证明材料）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jc w:val="center"/>
              <w:textAlignment w:val="auto"/>
              <w:rPr>
                <w:rFonts w:hint="eastAsia" w:ascii="宋体" w:hAnsi="宋体" w:eastAsia="宋体" w:cs="宋体"/>
                <w:spacing w:val="0"/>
                <w:sz w:val="21"/>
                <w:szCs w:val="21"/>
              </w:rPr>
            </w:pP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default" w:cs="宋体"/>
                <w:spacing w:val="0"/>
                <w:sz w:val="21"/>
                <w:szCs w:val="21"/>
                <w:lang w:val="en-US" w:eastAsia="zh-CN"/>
              </w:rPr>
            </w:pPr>
            <w:r>
              <w:rPr>
                <w:rFonts w:hint="eastAsia" w:cs="宋体"/>
                <w:spacing w:val="0"/>
                <w:sz w:val="21"/>
                <w:szCs w:val="21"/>
                <w:lang w:val="en-US" w:eastAsia="zh-CN"/>
              </w:rPr>
              <w:t>9</w:t>
            </w:r>
          </w:p>
        </w:tc>
        <w:tc>
          <w:tcPr>
            <w:tcW w:w="6274" w:type="dxa"/>
            <w:vAlign w:val="top"/>
          </w:tcPr>
          <w:p>
            <w:pPr>
              <w:pStyle w:val="47"/>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区、镇、村三级物流配送体系建设能力和运营方案：</w:t>
            </w:r>
          </w:p>
          <w:p>
            <w:pPr>
              <w:pStyle w:val="47"/>
              <w:numPr>
                <w:ilvl w:val="0"/>
                <w:numId w:val="12"/>
              </w:numPr>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投标人能提供物流仓储得3分</w:t>
            </w:r>
            <w:r>
              <w:rPr>
                <w:rFonts w:hint="eastAsia" w:cs="宋体"/>
                <w:spacing w:val="0"/>
                <w:kern w:val="2"/>
                <w:sz w:val="21"/>
                <w:szCs w:val="21"/>
                <w:lang w:val="en-US" w:eastAsia="zh-CN" w:bidi="zh-CN"/>
              </w:rPr>
              <w:t>，</w:t>
            </w:r>
            <w:r>
              <w:rPr>
                <w:rFonts w:hint="eastAsia"/>
                <w:color w:val="auto"/>
                <w:sz w:val="21"/>
                <w:szCs w:val="21"/>
                <w:lang w:val="en-US" w:eastAsia="zh-CN"/>
              </w:rPr>
              <w:t>未提供不得分；</w:t>
            </w:r>
          </w:p>
          <w:p>
            <w:pPr>
              <w:pStyle w:val="47"/>
              <w:numPr>
                <w:ilvl w:val="0"/>
                <w:numId w:val="12"/>
              </w:numPr>
              <w:spacing w:before="13" w:line="249" w:lineRule="auto"/>
              <w:ind w:left="0" w:leftChars="0" w:right="93" w:rightChars="0" w:firstLine="420" w:firstLineChars="200"/>
              <w:jc w:val="both"/>
              <w:rPr>
                <w:rFonts w:hint="eastAsia" w:ascii="宋体" w:hAnsi="宋体" w:eastAsia="宋体" w:cs="宋体"/>
                <w:color w:val="auto"/>
                <w:kern w:val="2"/>
                <w:sz w:val="21"/>
                <w:szCs w:val="21"/>
                <w:lang w:val="en-US" w:eastAsia="zh-CN" w:bidi="zh-CN"/>
              </w:rPr>
            </w:pPr>
            <w:r>
              <w:rPr>
                <w:rFonts w:hint="eastAsia"/>
                <w:color w:val="auto"/>
                <w:sz w:val="21"/>
                <w:szCs w:val="21"/>
                <w:lang w:val="en-US" w:eastAsia="zh-CN"/>
              </w:rPr>
              <w:t>冷链物流场所的得3分</w:t>
            </w:r>
            <w:r>
              <w:rPr>
                <w:rFonts w:hint="eastAsia" w:cs="宋体"/>
                <w:spacing w:val="0"/>
                <w:kern w:val="2"/>
                <w:sz w:val="21"/>
                <w:szCs w:val="21"/>
                <w:lang w:val="en-US" w:eastAsia="zh-CN" w:bidi="zh-CN"/>
              </w:rPr>
              <w:t>，</w:t>
            </w:r>
            <w:r>
              <w:rPr>
                <w:rFonts w:hint="eastAsia"/>
                <w:color w:val="auto"/>
                <w:sz w:val="21"/>
                <w:szCs w:val="21"/>
                <w:lang w:val="en-US" w:eastAsia="zh-CN"/>
              </w:rPr>
              <w:t>未提供不得分；</w:t>
            </w:r>
          </w:p>
          <w:p>
            <w:pPr>
              <w:pStyle w:val="47"/>
              <w:numPr>
                <w:ilvl w:val="0"/>
                <w:numId w:val="12"/>
              </w:numPr>
              <w:spacing w:before="13" w:line="249" w:lineRule="auto"/>
              <w:ind w:left="0" w:leftChars="0" w:right="93" w:rightChars="0" w:firstLine="420" w:firstLineChars="200"/>
              <w:jc w:val="both"/>
              <w:rPr>
                <w:rFonts w:hint="eastAsia" w:ascii="宋体" w:hAnsi="宋体" w:eastAsia="宋体" w:cs="宋体"/>
                <w:color w:val="auto"/>
                <w:kern w:val="2"/>
                <w:sz w:val="21"/>
                <w:szCs w:val="21"/>
                <w:lang w:val="en-US" w:eastAsia="zh-CN" w:bidi="zh-CN"/>
              </w:rPr>
            </w:pPr>
            <w:r>
              <w:rPr>
                <w:rFonts w:hint="eastAsia"/>
                <w:color w:val="auto"/>
                <w:sz w:val="21"/>
                <w:szCs w:val="21"/>
                <w:lang w:val="en-US" w:eastAsia="zh-CN"/>
              </w:rPr>
              <w:t>有调查分析现有物流快递数据，解决方案满足采购需求的得 3 分，未提供不得分</w:t>
            </w:r>
            <w:r>
              <w:rPr>
                <w:rFonts w:hint="eastAsia" w:cs="宋体"/>
                <w:spacing w:val="0"/>
                <w:kern w:val="2"/>
                <w:sz w:val="21"/>
                <w:szCs w:val="21"/>
                <w:lang w:val="en-US" w:eastAsia="zh-CN" w:bidi="zh-CN"/>
              </w:rPr>
              <w:t>。（提供相关证明材料）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jc w:val="center"/>
              <w:textAlignment w:val="auto"/>
              <w:rPr>
                <w:rFonts w:hint="eastAsia" w:ascii="宋体" w:hAnsi="宋体" w:eastAsia="宋体" w:cs="宋体"/>
                <w:spacing w:val="0"/>
                <w:sz w:val="21"/>
                <w:szCs w:val="21"/>
              </w:rPr>
            </w:pP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default" w:cs="宋体"/>
                <w:color w:val="auto"/>
                <w:spacing w:val="0"/>
                <w:sz w:val="21"/>
                <w:szCs w:val="21"/>
                <w:lang w:val="en-US" w:eastAsia="zh-CN"/>
              </w:rPr>
            </w:pPr>
            <w:r>
              <w:rPr>
                <w:rFonts w:hint="eastAsia" w:cs="宋体"/>
                <w:color w:val="auto"/>
                <w:spacing w:val="0"/>
                <w:sz w:val="21"/>
                <w:szCs w:val="21"/>
                <w:lang w:val="en-US" w:eastAsia="zh-CN"/>
              </w:rPr>
              <w:t>6</w:t>
            </w:r>
          </w:p>
        </w:tc>
        <w:tc>
          <w:tcPr>
            <w:tcW w:w="6274" w:type="dxa"/>
            <w:vAlign w:val="center"/>
          </w:tcPr>
          <w:p>
            <w:pPr>
              <w:pStyle w:val="47"/>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农村电子商务服务站点改造提升能力与建设方案：</w:t>
            </w:r>
          </w:p>
          <w:p>
            <w:pPr>
              <w:pStyle w:val="47"/>
              <w:numPr>
                <w:ilvl w:val="0"/>
                <w:numId w:val="13"/>
              </w:numPr>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提供与快递企业签订合作协议，掌握辖区内现有站点状况，并签订意向合作协议得3分，未提供不得分；</w:t>
            </w:r>
          </w:p>
          <w:p>
            <w:pPr>
              <w:pStyle w:val="47"/>
              <w:numPr>
                <w:ilvl w:val="0"/>
                <w:numId w:val="13"/>
              </w:numPr>
              <w:spacing w:before="13" w:line="249" w:lineRule="auto"/>
              <w:ind w:left="0" w:leftChars="0" w:right="93" w:rightChars="0" w:firstLine="420" w:firstLineChars="200"/>
              <w:jc w:val="both"/>
              <w:rPr>
                <w:rFonts w:hint="eastAsia" w:ascii="宋体" w:hAnsi="宋体" w:eastAsia="宋体" w:cs="宋体"/>
                <w:color w:val="auto"/>
                <w:kern w:val="2"/>
                <w:sz w:val="21"/>
                <w:szCs w:val="21"/>
                <w:lang w:val="en-US" w:eastAsia="zh-CN" w:bidi="zh-CN"/>
              </w:rPr>
            </w:pPr>
            <w:r>
              <w:rPr>
                <w:rFonts w:hint="eastAsia"/>
                <w:color w:val="auto"/>
                <w:sz w:val="21"/>
                <w:szCs w:val="21"/>
                <w:lang w:val="en-US" w:eastAsia="zh-CN"/>
              </w:rPr>
              <w:t>提供解决方案满足采购需求的得3 分，未提供不得分。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Merge w:val="continue"/>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jc w:val="center"/>
              <w:textAlignment w:val="auto"/>
              <w:rPr>
                <w:rFonts w:hint="eastAsia" w:ascii="宋体" w:hAnsi="宋体" w:eastAsia="宋体" w:cs="宋体"/>
                <w:spacing w:val="0"/>
                <w:sz w:val="21"/>
                <w:szCs w:val="21"/>
              </w:rPr>
            </w:pP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default" w:cs="宋体"/>
                <w:spacing w:val="0"/>
                <w:sz w:val="21"/>
                <w:szCs w:val="21"/>
                <w:lang w:val="en-US" w:eastAsia="zh-CN"/>
              </w:rPr>
            </w:pPr>
            <w:r>
              <w:rPr>
                <w:rFonts w:hint="eastAsia" w:cs="宋体"/>
                <w:spacing w:val="0"/>
                <w:sz w:val="21"/>
                <w:szCs w:val="21"/>
                <w:lang w:val="en-US" w:eastAsia="zh-CN"/>
              </w:rPr>
              <w:t>4</w:t>
            </w:r>
          </w:p>
        </w:tc>
        <w:tc>
          <w:tcPr>
            <w:tcW w:w="6274" w:type="dxa"/>
            <w:vAlign w:val="top"/>
          </w:tcPr>
          <w:p>
            <w:pPr>
              <w:pStyle w:val="47"/>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农村电子商务培训体系建设能力与运营方案：</w:t>
            </w:r>
          </w:p>
          <w:p>
            <w:pPr>
              <w:pStyle w:val="47"/>
              <w:numPr>
                <w:ilvl w:val="0"/>
                <w:numId w:val="14"/>
              </w:numPr>
              <w:spacing w:before="13" w:line="249" w:lineRule="auto"/>
              <w:ind w:left="0" w:leftChars="0" w:right="93" w:rightChars="0" w:firstLine="420" w:firstLineChars="200"/>
              <w:jc w:val="both"/>
              <w:rPr>
                <w:rFonts w:hint="eastAsia"/>
                <w:color w:val="auto"/>
                <w:sz w:val="21"/>
                <w:szCs w:val="21"/>
                <w:lang w:val="en-US" w:eastAsia="zh-CN"/>
              </w:rPr>
            </w:pPr>
            <w:r>
              <w:rPr>
                <w:rFonts w:hint="eastAsia"/>
                <w:color w:val="auto"/>
                <w:sz w:val="21"/>
                <w:szCs w:val="21"/>
                <w:lang w:val="en-US" w:eastAsia="zh-CN"/>
              </w:rPr>
              <w:t>投标人能提供培训教室并配备有电脑设施的得2分，未提供不得分；</w:t>
            </w:r>
          </w:p>
          <w:p>
            <w:pPr>
              <w:pStyle w:val="47"/>
              <w:numPr>
                <w:ilvl w:val="0"/>
                <w:numId w:val="14"/>
              </w:numPr>
              <w:spacing w:before="13" w:line="249" w:lineRule="auto"/>
              <w:ind w:left="0" w:leftChars="0" w:right="93" w:rightChars="0" w:firstLine="420" w:firstLineChars="200"/>
              <w:jc w:val="both"/>
              <w:rPr>
                <w:rFonts w:hint="eastAsia" w:ascii="宋体" w:hAnsi="宋体" w:eastAsia="宋体" w:cs="宋体"/>
                <w:color w:val="auto"/>
                <w:kern w:val="2"/>
                <w:sz w:val="21"/>
                <w:szCs w:val="21"/>
                <w:lang w:val="en-US" w:eastAsia="zh-CN" w:bidi="zh-CN"/>
              </w:rPr>
            </w:pPr>
            <w:r>
              <w:rPr>
                <w:rFonts w:hint="eastAsia"/>
                <w:color w:val="auto"/>
                <w:sz w:val="21"/>
                <w:szCs w:val="21"/>
                <w:lang w:val="en-US" w:eastAsia="zh-CN"/>
              </w:rPr>
              <w:t>培训方案符合采购需求的得 2 分，</w:t>
            </w:r>
            <w:r>
              <w:rPr>
                <w:rFonts w:hint="eastAsia" w:cs="宋体"/>
                <w:spacing w:val="0"/>
                <w:kern w:val="2"/>
                <w:sz w:val="21"/>
                <w:szCs w:val="21"/>
                <w:lang w:val="en-US" w:eastAsia="zh-CN" w:bidi="zh-CN"/>
              </w:rPr>
              <w:t>未提供不得分（提供相关证明材料）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1"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Merge w:val="continue"/>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textAlignment w:val="auto"/>
              <w:rPr>
                <w:rFonts w:hint="eastAsia" w:ascii="宋体" w:hAnsi="宋体" w:eastAsia="宋体" w:cs="宋体"/>
                <w:spacing w:val="0"/>
                <w:sz w:val="21"/>
                <w:szCs w:val="21"/>
              </w:rPr>
            </w:pP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left="9" w:leftChars="0"/>
              <w:jc w:val="center"/>
              <w:textAlignment w:val="auto"/>
              <w:rPr>
                <w:rFonts w:hint="eastAsia" w:cs="宋体"/>
                <w:spacing w:val="0"/>
                <w:sz w:val="21"/>
                <w:szCs w:val="21"/>
                <w:lang w:val="en-US" w:eastAsia="zh-CN"/>
              </w:rPr>
            </w:pPr>
            <w:r>
              <w:rPr>
                <w:rFonts w:hint="eastAsia" w:cs="宋体"/>
                <w:spacing w:val="0"/>
                <w:sz w:val="21"/>
                <w:szCs w:val="21"/>
                <w:lang w:val="en-US" w:eastAsia="zh-CN"/>
              </w:rPr>
              <w:t>5</w:t>
            </w:r>
          </w:p>
        </w:tc>
        <w:tc>
          <w:tcPr>
            <w:tcW w:w="6274" w:type="dxa"/>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0" w:leftChars="0" w:right="0" w:firstLine="420" w:firstLineChars="200"/>
              <w:textAlignment w:val="auto"/>
              <w:rPr>
                <w:rFonts w:hint="eastAsia"/>
                <w:color w:val="auto"/>
                <w:sz w:val="21"/>
                <w:szCs w:val="21"/>
                <w:lang w:val="en-US" w:eastAsia="zh-CN"/>
              </w:rPr>
            </w:pPr>
            <w:r>
              <w:rPr>
                <w:rFonts w:hint="eastAsia"/>
                <w:color w:val="auto"/>
                <w:sz w:val="21"/>
                <w:szCs w:val="21"/>
                <w:lang w:val="en-US" w:eastAsia="zh-CN"/>
              </w:rPr>
              <w:t>电商扶贫能力与建设方案：</w:t>
            </w:r>
          </w:p>
          <w:p>
            <w:pPr>
              <w:pStyle w:val="47"/>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firstLine="420" w:firstLineChars="200"/>
              <w:textAlignment w:val="auto"/>
              <w:rPr>
                <w:rFonts w:hint="eastAsia"/>
                <w:color w:val="auto"/>
                <w:sz w:val="21"/>
                <w:szCs w:val="21"/>
                <w:lang w:val="en-US" w:eastAsia="zh-CN"/>
              </w:rPr>
            </w:pPr>
            <w:r>
              <w:rPr>
                <w:rFonts w:hint="eastAsia"/>
                <w:color w:val="auto"/>
                <w:sz w:val="21"/>
                <w:szCs w:val="21"/>
                <w:lang w:val="en-US" w:eastAsia="zh-CN"/>
              </w:rPr>
              <w:t>提供掌握贫困村现有站点状况，并与扶贫村帮扶企业签订意向合作协议的得3分，未提供不得分；</w:t>
            </w:r>
          </w:p>
          <w:p>
            <w:pPr>
              <w:pStyle w:val="47"/>
              <w:keepNext w:val="0"/>
              <w:keepLines w:val="0"/>
              <w:pageBreakBefore w:val="0"/>
              <w:widowControl w:val="0"/>
              <w:numPr>
                <w:ilvl w:val="0"/>
                <w:numId w:val="15"/>
              </w:numPr>
              <w:kinsoku/>
              <w:wordWrap/>
              <w:overflowPunct/>
              <w:topLinePunct w:val="0"/>
              <w:autoSpaceDE/>
              <w:autoSpaceDN/>
              <w:bidi w:val="0"/>
              <w:adjustRightInd/>
              <w:snapToGrid/>
              <w:spacing w:line="400" w:lineRule="exact"/>
              <w:ind w:left="0" w:leftChars="0" w:right="0" w:firstLine="420" w:firstLineChars="200"/>
              <w:textAlignment w:val="auto"/>
              <w:rPr>
                <w:rFonts w:hint="eastAsia" w:ascii="宋体" w:hAnsi="宋体" w:eastAsia="宋体" w:cs="宋体"/>
                <w:spacing w:val="0"/>
                <w:kern w:val="2"/>
                <w:sz w:val="21"/>
                <w:szCs w:val="21"/>
                <w:lang w:val="zh-CN" w:eastAsia="zh-CN" w:bidi="zh-CN"/>
              </w:rPr>
            </w:pPr>
            <w:r>
              <w:rPr>
                <w:rFonts w:hint="eastAsia"/>
                <w:color w:val="auto"/>
                <w:sz w:val="21"/>
                <w:szCs w:val="21"/>
                <w:lang w:val="en-US" w:eastAsia="zh-CN"/>
              </w:rPr>
              <w:t>提供帮助贫困户解决农产品上行方案的，并在网站及媒体上有新闻媒体报道的得 2分，未提供不得分（提供相关证明材料）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91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sz w:val="21"/>
                <w:szCs w:val="21"/>
              </w:rPr>
            </w:pPr>
          </w:p>
        </w:tc>
        <w:tc>
          <w:tcPr>
            <w:tcW w:w="918" w:type="dxa"/>
            <w:vAlign w:val="top"/>
          </w:tcPr>
          <w:p>
            <w:pPr>
              <w:pStyle w:val="47"/>
              <w:keepNext w:val="0"/>
              <w:keepLines w:val="0"/>
              <w:pageBreakBefore w:val="0"/>
              <w:widowControl w:val="0"/>
              <w:kinsoku/>
              <w:wordWrap/>
              <w:overflowPunct/>
              <w:topLinePunct w:val="0"/>
              <w:autoSpaceDE/>
              <w:autoSpaceDN/>
              <w:bidi w:val="0"/>
              <w:adjustRightInd/>
              <w:snapToGrid/>
              <w:spacing w:line="400" w:lineRule="exact"/>
              <w:ind w:left="15" w:leftChars="0"/>
              <w:textAlignment w:val="auto"/>
              <w:rPr>
                <w:rFonts w:hint="default" w:ascii="宋体" w:hAnsi="宋体" w:eastAsia="宋体" w:cs="宋体"/>
                <w:spacing w:val="0"/>
                <w:sz w:val="21"/>
                <w:szCs w:val="21"/>
                <w:lang w:val="en-US" w:eastAsia="zh-CN"/>
              </w:rPr>
            </w:pPr>
            <w:r>
              <w:rPr>
                <w:rFonts w:hint="eastAsia" w:cs="宋体"/>
                <w:spacing w:val="0"/>
                <w:sz w:val="21"/>
                <w:szCs w:val="21"/>
                <w:lang w:val="en-US" w:eastAsia="zh-CN"/>
              </w:rPr>
              <w:t>项目后续保障服务</w:t>
            </w:r>
          </w:p>
          <w:p>
            <w:pPr>
              <w:pStyle w:val="47"/>
              <w:keepNext w:val="0"/>
              <w:keepLines w:val="0"/>
              <w:pageBreakBefore w:val="0"/>
              <w:widowControl w:val="0"/>
              <w:kinsoku/>
              <w:wordWrap/>
              <w:overflowPunct/>
              <w:topLinePunct w:val="0"/>
              <w:autoSpaceDE/>
              <w:autoSpaceDN/>
              <w:bidi w:val="0"/>
              <w:adjustRightInd/>
              <w:snapToGrid/>
              <w:spacing w:line="400" w:lineRule="exact"/>
              <w:ind w:left="15" w:leftChars="0"/>
              <w:textAlignment w:val="auto"/>
              <w:rPr>
                <w:rFonts w:hint="eastAsia" w:ascii="宋体" w:hAnsi="宋体" w:eastAsia="宋体" w:cs="宋体"/>
                <w:spacing w:val="0"/>
                <w:sz w:val="21"/>
                <w:szCs w:val="21"/>
                <w:lang w:eastAsia="zh-CN"/>
              </w:rPr>
            </w:pPr>
            <w:r>
              <w:rPr>
                <w:rFonts w:hint="eastAsia" w:ascii="宋体" w:hAnsi="宋体" w:eastAsia="宋体" w:cs="宋体"/>
                <w:spacing w:val="0"/>
                <w:sz w:val="21"/>
                <w:szCs w:val="21"/>
              </w:rPr>
              <w:t>（</w:t>
            </w:r>
            <w:r>
              <w:rPr>
                <w:rFonts w:hint="eastAsia" w:cs="宋体"/>
                <w:spacing w:val="0"/>
                <w:sz w:val="21"/>
                <w:szCs w:val="21"/>
                <w:lang w:val="en-US" w:eastAsia="zh-CN"/>
              </w:rPr>
              <w:t>5</w:t>
            </w:r>
            <w:r>
              <w:rPr>
                <w:rFonts w:hint="eastAsia" w:ascii="宋体" w:hAnsi="宋体" w:eastAsia="宋体" w:cs="宋体"/>
                <w:spacing w:val="0"/>
                <w:sz w:val="21"/>
                <w:szCs w:val="21"/>
              </w:rPr>
              <w:t>分</w:t>
            </w:r>
            <w:r>
              <w:rPr>
                <w:rFonts w:hint="eastAsia" w:cs="宋体"/>
                <w:spacing w:val="0"/>
                <w:sz w:val="21"/>
                <w:szCs w:val="21"/>
                <w:lang w:eastAsia="zh-CN"/>
              </w:rPr>
              <w:t>）</w:t>
            </w:r>
          </w:p>
        </w:tc>
        <w:tc>
          <w:tcPr>
            <w:tcW w:w="799" w:type="dxa"/>
            <w:vAlign w:val="center"/>
          </w:tcPr>
          <w:p>
            <w:pPr>
              <w:pStyle w:val="47"/>
              <w:keepNext w:val="0"/>
              <w:keepLines w:val="0"/>
              <w:pageBreakBefore w:val="0"/>
              <w:widowControl w:val="0"/>
              <w:kinsoku/>
              <w:wordWrap/>
              <w:overflowPunct/>
              <w:topLinePunct w:val="0"/>
              <w:autoSpaceDE/>
              <w:autoSpaceDN/>
              <w:bidi w:val="0"/>
              <w:adjustRightInd/>
              <w:snapToGrid/>
              <w:spacing w:line="400" w:lineRule="exact"/>
              <w:ind w:right="79" w:rightChars="0"/>
              <w:jc w:val="center"/>
              <w:textAlignment w:val="auto"/>
              <w:rPr>
                <w:rFonts w:hint="eastAsia" w:ascii="Times New Roman" w:hAnsi="宋体" w:eastAsia="宋体" w:cs="宋体"/>
                <w:color w:val="auto"/>
                <w:kern w:val="2"/>
                <w:sz w:val="21"/>
                <w:szCs w:val="21"/>
                <w:lang w:val="en-US" w:eastAsia="zh-CN" w:bidi="zh-CN"/>
              </w:rPr>
            </w:pPr>
            <w:r>
              <w:rPr>
                <w:rFonts w:hint="eastAsia" w:ascii="Times New Roman" w:cs="宋体"/>
                <w:color w:val="auto"/>
                <w:kern w:val="2"/>
                <w:sz w:val="21"/>
                <w:szCs w:val="21"/>
                <w:lang w:val="en-US" w:eastAsia="zh-CN" w:bidi="zh-CN"/>
              </w:rPr>
              <w:t>5</w:t>
            </w:r>
          </w:p>
        </w:tc>
        <w:tc>
          <w:tcPr>
            <w:tcW w:w="6274" w:type="dxa"/>
            <w:vAlign w:val="top"/>
          </w:tcPr>
          <w:p>
            <w:pPr>
              <w:pStyle w:val="47"/>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0" w:leftChars="0" w:right="0" w:rightChars="0" w:firstLine="420" w:firstLineChars="200"/>
              <w:jc w:val="both"/>
              <w:textAlignment w:val="auto"/>
              <w:rPr>
                <w:rFonts w:hint="eastAsia"/>
                <w:color w:val="auto"/>
                <w:sz w:val="21"/>
                <w:szCs w:val="21"/>
                <w:lang w:val="en-US" w:eastAsia="zh-CN"/>
              </w:rPr>
            </w:pPr>
            <w:r>
              <w:rPr>
                <w:rFonts w:hint="eastAsia"/>
                <w:color w:val="auto"/>
                <w:sz w:val="21"/>
                <w:szCs w:val="21"/>
                <w:lang w:val="en-US" w:eastAsia="zh-CN"/>
              </w:rPr>
              <w:t>投标人针对本项目需求，提出公共服务中心、站点、物流体系等可持续运营服务承诺及措施的得 3分，未提供不得分；</w:t>
            </w:r>
          </w:p>
          <w:p>
            <w:pPr>
              <w:pStyle w:val="47"/>
              <w:keepNext w:val="0"/>
              <w:keepLines w:val="0"/>
              <w:pageBreakBefore w:val="0"/>
              <w:widowControl w:val="0"/>
              <w:numPr>
                <w:ilvl w:val="0"/>
                <w:numId w:val="16"/>
              </w:numPr>
              <w:kinsoku/>
              <w:wordWrap/>
              <w:overflowPunct/>
              <w:topLinePunct w:val="0"/>
              <w:autoSpaceDE/>
              <w:autoSpaceDN/>
              <w:bidi w:val="0"/>
              <w:adjustRightInd/>
              <w:snapToGrid/>
              <w:spacing w:line="400" w:lineRule="exact"/>
              <w:ind w:left="0" w:leftChars="0" w:right="0" w:rightChars="0" w:firstLine="420" w:firstLineChars="200"/>
              <w:jc w:val="both"/>
              <w:textAlignment w:val="auto"/>
              <w:rPr>
                <w:rFonts w:hint="eastAsia" w:ascii="宋体" w:hAnsi="宋体" w:eastAsia="宋体" w:cs="宋体"/>
                <w:color w:val="auto"/>
                <w:kern w:val="2"/>
                <w:sz w:val="21"/>
                <w:szCs w:val="21"/>
                <w:lang w:val="zh-CN" w:eastAsia="zh-CN" w:bidi="zh-CN"/>
              </w:rPr>
            </w:pPr>
            <w:r>
              <w:rPr>
                <w:rFonts w:hint="eastAsia"/>
                <w:color w:val="auto"/>
                <w:sz w:val="21"/>
                <w:szCs w:val="21"/>
                <w:lang w:val="en-US" w:eastAsia="zh-CN"/>
              </w:rPr>
              <w:t>提出培训后，跟踪服务承诺及措施的得 2 分，未提供不得分。</w:t>
            </w:r>
          </w:p>
        </w:tc>
      </w:tr>
    </w:tbl>
    <w:p>
      <w:pPr>
        <w:ind w:firstLine="420" w:firstLineChars="200"/>
        <w:rPr>
          <w:rFonts w:hint="eastAsia"/>
          <w:color w:val="auto"/>
          <w:lang w:val="en-US" w:eastAsia="zh-CN"/>
        </w:rPr>
      </w:pPr>
    </w:p>
    <w:p>
      <w:pPr>
        <w:ind w:firstLine="420" w:firstLineChars="200"/>
        <w:rPr>
          <w:rFonts w:hint="eastAsia"/>
          <w:color w:val="auto"/>
          <w:lang w:val="en-US" w:eastAsia="zh-CN"/>
        </w:rPr>
      </w:pPr>
      <w:r>
        <w:rPr>
          <w:rFonts w:hint="eastAsia"/>
          <w:color w:val="auto"/>
          <w:lang w:val="en-US" w:eastAsia="zh-CN"/>
        </w:rPr>
        <w:t>注：计算公式</w:t>
      </w:r>
    </w:p>
    <w:p>
      <w:pPr>
        <w:ind w:firstLine="420" w:firstLineChars="200"/>
        <w:rPr>
          <w:rFonts w:hint="eastAsia"/>
          <w:color w:val="auto"/>
          <w:lang w:val="en-US" w:eastAsia="zh-CN"/>
        </w:rPr>
      </w:pPr>
      <w:r>
        <w:rPr>
          <w:rFonts w:hint="eastAsia"/>
          <w:color w:val="auto"/>
          <w:lang w:val="en-US" w:eastAsia="zh-CN"/>
        </w:rPr>
        <w:t>（1）资产负债率=年末负债总额/年末资产总额×100%</w:t>
      </w:r>
    </w:p>
    <w:p>
      <w:pPr>
        <w:ind w:firstLine="420" w:firstLineChars="200"/>
        <w:rPr>
          <w:rFonts w:hint="eastAsia"/>
          <w:color w:val="auto"/>
          <w:lang w:val="en-US" w:eastAsia="zh-CN"/>
        </w:rPr>
      </w:pPr>
      <w:r>
        <w:rPr>
          <w:rFonts w:hint="eastAsia"/>
          <w:color w:val="auto"/>
          <w:lang w:val="en-US" w:eastAsia="zh-CN"/>
        </w:rPr>
        <w:t>（2）资产净收益率=净利润×2/（年初净资产+年末净资产）×100%</w:t>
      </w:r>
    </w:p>
    <w:p>
      <w:pPr>
        <w:rPr>
          <w:rFonts w:hint="eastAsia" w:ascii="宋体" w:hAnsi="宋体" w:cs="宋体"/>
          <w:b/>
          <w:bCs/>
          <w:sz w:val="24"/>
          <w:szCs w:val="24"/>
          <w:lang w:val="zh-CN" w:eastAsia="zh-CN"/>
        </w:rPr>
      </w:pPr>
      <w:r>
        <w:rPr>
          <w:rFonts w:hint="eastAsia" w:ascii="宋体" w:hAnsi="宋体" w:cs="宋体"/>
          <w:b/>
          <w:bCs/>
          <w:sz w:val="24"/>
          <w:szCs w:val="24"/>
          <w:lang w:val="zh-CN" w:eastAsia="zh-CN"/>
        </w:rPr>
        <w:br w:type="page"/>
      </w:r>
    </w:p>
    <w:p>
      <w:pPr>
        <w:tabs>
          <w:tab w:val="left" w:pos="540"/>
        </w:tabs>
        <w:spacing w:line="360" w:lineRule="auto"/>
        <w:rPr>
          <w:rFonts w:hint="eastAsia" w:ascii="宋体" w:hAnsi="宋体" w:cs="宋体"/>
          <w:b/>
          <w:bCs/>
          <w:sz w:val="24"/>
          <w:szCs w:val="24"/>
          <w:lang w:val="en-US" w:eastAsia="zh-CN"/>
        </w:rPr>
      </w:pPr>
      <w:r>
        <w:rPr>
          <w:rFonts w:hint="eastAsia" w:ascii="宋体" w:hAnsi="宋体" w:cs="宋体"/>
          <w:b/>
          <w:bCs/>
          <w:sz w:val="24"/>
          <w:szCs w:val="24"/>
          <w:lang w:val="zh-CN" w:eastAsia="zh-CN"/>
        </w:rPr>
        <w:t>附</w:t>
      </w:r>
      <w:r>
        <w:rPr>
          <w:rFonts w:hint="eastAsia" w:ascii="宋体" w:hAnsi="宋体" w:cs="宋体"/>
          <w:b/>
          <w:bCs/>
          <w:sz w:val="24"/>
          <w:szCs w:val="24"/>
          <w:lang w:val="en-US" w:eastAsia="zh-CN"/>
        </w:rPr>
        <w:t>：</w:t>
      </w:r>
      <w:r>
        <w:rPr>
          <w:rFonts w:hint="eastAsia" w:ascii="宋体" w:hAnsi="宋体" w:cs="宋体"/>
          <w:b/>
          <w:bCs/>
          <w:sz w:val="24"/>
          <w:szCs w:val="24"/>
          <w:lang w:val="zh-CN" w:eastAsia="zh-CN"/>
        </w:rPr>
        <w:t>政府采购政策扶持企业</w:t>
      </w:r>
      <w:r>
        <w:rPr>
          <w:rFonts w:hint="eastAsia" w:ascii="宋体" w:hAnsi="宋体" w:cs="宋体"/>
          <w:b/>
          <w:bCs/>
          <w:sz w:val="24"/>
          <w:szCs w:val="24"/>
          <w:lang w:val="en-US" w:eastAsia="zh-CN"/>
        </w:rPr>
        <w:t>:</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lang w:val="zh-CN" w:eastAsia="zh-CN" w:bidi="ar-SA"/>
        </w:rPr>
      </w:pPr>
      <w:r>
        <w:rPr>
          <w:rFonts w:hint="eastAsia" w:ascii="宋体" w:hAnsi="宋体" w:cs="宋体"/>
          <w:b w:val="0"/>
          <w:bCs w:val="0"/>
          <w:kern w:val="2"/>
          <w:sz w:val="24"/>
          <w:szCs w:val="24"/>
          <w:lang w:val="en-US" w:eastAsia="zh-CN" w:bidi="ar-SA"/>
        </w:rPr>
        <w:t>1.</w:t>
      </w:r>
      <w:r>
        <w:rPr>
          <w:rFonts w:hint="eastAsia" w:ascii="宋体" w:hAnsi="宋体" w:eastAsia="宋体" w:cs="宋体"/>
          <w:b w:val="0"/>
          <w:bCs w:val="0"/>
          <w:kern w:val="2"/>
          <w:sz w:val="24"/>
          <w:szCs w:val="24"/>
          <w:lang w:val="zh-CN" w:eastAsia="zh-CN" w:bidi="ar-SA"/>
        </w:rPr>
        <w:t>中小企业如符合工信部联企业〔2011〕300 号文中对中小企业划型标准的，需提供本单位的《中小企业声明函》。制造商直接投标的仅需提供制造商的《中小企业声明函》；代理商投标的，需同时提供制造商及代理商双方的《中小企业声明函》。</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2</w:t>
      </w: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kern w:val="2"/>
          <w:sz w:val="24"/>
          <w:szCs w:val="24"/>
          <w:lang w:val="zh-CN" w:eastAsia="zh-CN" w:bidi="ar-SA"/>
        </w:rPr>
        <w:t>依据《财政部 司法部关于政府采购支持监狱企业发展有关问题的通知》（财库〔2014〕68 号），监狱企业视同小型、微型企业，但应当提供由省级以上监狱管理局、戒毒管理局（含新疆生产建设兵团）出具的属于监狱企业的证明文件。</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3</w:t>
      </w: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kern w:val="2"/>
          <w:sz w:val="24"/>
          <w:szCs w:val="24"/>
          <w:lang w:val="zh-CN" w:eastAsia="zh-CN" w:bidi="ar-SA"/>
        </w:rPr>
        <w:t>依据《三部门联合发布关于促进残疾人就业政府采购政策的通知》（财库〔2017〕141 号），残疾人福利性单位视同小型、微型企业，但应当提供《残疾人福利性单位声明函》，并对声明的真实性负责。</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评标委员会依据《中小企业声明函》、《残疾人福利性单位声明函》或监狱企业证明文件，</w:t>
      </w:r>
      <w:r>
        <w:rPr>
          <w:rFonts w:hint="eastAsia" w:ascii="宋体" w:hAnsi="宋体" w:eastAsia="宋体" w:cs="宋体"/>
          <w:b/>
          <w:bCs/>
          <w:kern w:val="2"/>
          <w:sz w:val="24"/>
          <w:szCs w:val="24"/>
          <w:lang w:val="zh-CN" w:eastAsia="zh-CN" w:bidi="ar-SA"/>
        </w:rPr>
        <w:t>在价格评审时对小型和微型企业服务的价格给予6%的扣除，</w:t>
      </w:r>
      <w:r>
        <w:rPr>
          <w:rFonts w:hint="eastAsia" w:ascii="宋体" w:hAnsi="宋体" w:eastAsia="宋体" w:cs="宋体"/>
          <w:b w:val="0"/>
          <w:bCs w:val="0"/>
          <w:kern w:val="2"/>
          <w:sz w:val="24"/>
          <w:szCs w:val="24"/>
          <w:lang w:val="zh-CN" w:eastAsia="zh-CN" w:bidi="ar-SA"/>
        </w:rPr>
        <w:t>以调整后的价格计算评标基准价和投标报价。此项政府采购政策只针对价格部分的评审，不作为其他依据。</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4</w:t>
      </w:r>
      <w:r>
        <w:rPr>
          <w:rFonts w:hint="eastAsia" w:ascii="宋体" w:hAnsi="宋体" w:eastAsia="宋体" w:cs="宋体"/>
          <w:b w:val="0"/>
          <w:bCs w:val="0"/>
          <w:kern w:val="2"/>
          <w:sz w:val="24"/>
          <w:szCs w:val="24"/>
          <w:lang w:val="en-US" w:eastAsia="zh-CN" w:bidi="ar-SA"/>
        </w:rPr>
        <w:t>.</w:t>
      </w:r>
      <w:r>
        <w:rPr>
          <w:rFonts w:hint="eastAsia" w:ascii="宋体" w:hAnsi="宋体" w:eastAsia="宋体" w:cs="宋体"/>
          <w:b w:val="0"/>
          <w:bCs w:val="0"/>
          <w:kern w:val="2"/>
          <w:sz w:val="24"/>
          <w:szCs w:val="24"/>
          <w:lang w:val="zh-CN" w:eastAsia="zh-CN" w:bidi="ar-SA"/>
        </w:rPr>
        <w:t>根据财政部、国家发展改革委关于印发《节能产品政府采购实施意见》的通知（财库〔2004〕185 号）文件规定。为了充分发挥政府采购的政策功能，应当优先采购节能产品政府采购清单（以下简称节能产品清单）中的产品，对符合该文件规定的投标人享受如下政府政策评审优惠：</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(1)投标产品列入最新一期节能产品清单的，给予该项投标产品所占价格的 1%的价格扣除，用扣除后的价格参与评审。</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(2)投标产品符合以上文件的政策的，须提供如下证明资料：</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①投标产品所在当期节能产品清单页面截图（包含制造商、品牌、产品型号、节字标志认证证书号、认证证书有效截止日期）；（复印件加盖投标人公章）</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②投标产品节能清单产品查询系统查询结果截图（中国政府采购网、中国环境资源信息网及中国节能节水认证网）；（复印件加盖投标人公章）</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③投标产品属于节能产品清单内产品须单独分项报价。</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④最新一期节能产品清单发布之后开展的政府采购活动，应当执行最新一期节能产品清单。在此之前已经开展但尚未进入评审环节的政府采购活动，可以同时执行上期和最新一期节能清单。</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cs="宋体"/>
          <w:b w:val="0"/>
          <w:bCs w:val="0"/>
          <w:kern w:val="2"/>
          <w:sz w:val="24"/>
          <w:szCs w:val="24"/>
          <w:lang w:val="en-US" w:eastAsia="zh-CN" w:bidi="ar-SA"/>
        </w:rPr>
        <w:t>5</w:t>
      </w:r>
      <w:r>
        <w:rPr>
          <w:rFonts w:hint="eastAsia" w:ascii="宋体" w:hAnsi="宋体" w:eastAsia="宋体" w:cs="宋体"/>
          <w:b w:val="0"/>
          <w:bCs w:val="0"/>
          <w:kern w:val="2"/>
          <w:sz w:val="24"/>
          <w:szCs w:val="24"/>
          <w:lang w:val="zh-CN" w:eastAsia="zh-CN" w:bidi="ar-SA"/>
        </w:rPr>
        <w:t>.5 根据财政部、国家环境保护总局《关于环境标志产品政府采购实施的意见》（财库【2006】）90 号）文件。为了充分发挥政府采购的政策功能，应当优先采购环境标志产品政府采购清单（以下简称环境标志产品清单）中的产品，对符合该文件规定的投标人享受如下政府政策评审优惠：</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(1)投标产品列入最新一期环境标志产品清单的，给予该项投标产品所占价格的 1%的价格扣除，用扣除后的价格参与评审。</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(2)投标产品符合以上文件的政策的，须提供如下证明资料：</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①投标产品所在当期环境标志产品清单页面截图（包含制造商、品牌、产品型号、</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环境标志认证证书号、认证证书有效截止日期）；（复印件加盖投标人公章）②投标产品环境标志清单产品查询系统查询结果截图（中国政府采购网、国家环境保护总局网及中国绿色采购网）；（复印件加盖投标人公章）</w:t>
      </w:r>
    </w:p>
    <w:p>
      <w:pPr>
        <w:spacing w:line="360" w:lineRule="auto"/>
        <w:rPr>
          <w:rFonts w:hint="eastAsia" w:ascii="宋体" w:hAnsi="宋体" w:eastAsia="宋体" w:cs="宋体"/>
          <w:b w:val="0"/>
          <w:bCs w:val="0"/>
          <w:kern w:val="2"/>
          <w:sz w:val="24"/>
          <w:szCs w:val="24"/>
          <w:lang w:val="zh-CN" w:eastAsia="zh-CN" w:bidi="ar-SA"/>
        </w:rPr>
      </w:pPr>
      <w:r>
        <w:rPr>
          <w:rFonts w:hint="eastAsia" w:ascii="宋体" w:hAnsi="宋体" w:eastAsia="宋体" w:cs="宋体"/>
          <w:b w:val="0"/>
          <w:bCs w:val="0"/>
          <w:kern w:val="2"/>
          <w:sz w:val="24"/>
          <w:szCs w:val="24"/>
          <w:lang w:val="zh-CN" w:eastAsia="zh-CN" w:bidi="ar-SA"/>
        </w:rPr>
        <w:t>③投标产品属于环境标志产品清单内产品须单独分项报价。（按招标文件格式填写）</w:t>
      </w:r>
    </w:p>
    <w:p>
      <w:pPr>
        <w:spacing w:line="360" w:lineRule="auto"/>
        <w:rPr>
          <w:rFonts w:ascii="仿宋_GB2312" w:hAnsi="仿宋_GB2312" w:eastAsia="仿宋_GB2312" w:cs="仿宋_GB2312"/>
          <w:sz w:val="32"/>
          <w:szCs w:val="32"/>
        </w:rPr>
      </w:pPr>
      <w:r>
        <w:rPr>
          <w:rFonts w:hint="eastAsia" w:ascii="宋体" w:hAnsi="宋体" w:eastAsia="宋体" w:cs="宋体"/>
          <w:b w:val="0"/>
          <w:bCs w:val="0"/>
          <w:kern w:val="2"/>
          <w:sz w:val="24"/>
          <w:szCs w:val="24"/>
          <w:lang w:val="zh-CN" w:eastAsia="zh-CN" w:bidi="ar-SA"/>
        </w:rPr>
        <w:t>④最新一期环境标志产品清单发布之后开展的政府采购活动，应当执行最新一期环境标志产品清单。在此之前已经开展但尚未进入评审环节的政府采购活动，可以同时执行上期和最新一期环境标志产品清单。</w:t>
      </w:r>
    </w:p>
    <w:p>
      <w:pP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br w:type="page"/>
      </w:r>
    </w:p>
    <w:p>
      <w:pPr>
        <w:pStyle w:val="3"/>
        <w:spacing w:before="120" w:after="120" w:line="800" w:lineRule="exact"/>
        <w:jc w:val="center"/>
        <w:rPr>
          <w:rFonts w:ascii="黑体" w:hAnsi="黑体" w:eastAsia="黑体" w:cs="黑体"/>
          <w:b w:val="0"/>
          <w:bCs w:val="0"/>
        </w:rPr>
      </w:pPr>
      <w:r>
        <w:rPr>
          <w:rFonts w:hint="eastAsia" w:ascii="黑体" w:hAnsi="黑体" w:eastAsia="黑体" w:cs="黑体"/>
          <w:sz w:val="32"/>
          <w:szCs w:val="32"/>
        </w:rPr>
        <w:t>第五章 合同条款及格式</w:t>
      </w:r>
    </w:p>
    <w:p>
      <w:pPr>
        <w:spacing w:line="440" w:lineRule="exact"/>
        <w:ind w:firstLine="373" w:firstLineChars="116"/>
        <w:jc w:val="center"/>
        <w:rPr>
          <w:rFonts w:ascii="仿宋_GB2312" w:hAnsi="仿宋_GB2312" w:eastAsia="仿宋_GB2312" w:cs="仿宋_GB2312"/>
          <w:b/>
          <w:bCs/>
          <w:sz w:val="32"/>
          <w:szCs w:val="32"/>
        </w:rPr>
      </w:pPr>
    </w:p>
    <w:p>
      <w:pPr>
        <w:jc w:val="center"/>
        <w:rPr>
          <w:sz w:val="24"/>
        </w:rPr>
      </w:pPr>
      <w:r>
        <w:rPr>
          <w:rFonts w:hint="eastAsia"/>
          <w:sz w:val="24"/>
        </w:rPr>
        <w:t>（参考格式）</w:t>
      </w:r>
    </w:p>
    <w:p>
      <w:pPr>
        <w:rPr>
          <w:sz w:val="24"/>
        </w:rPr>
      </w:pPr>
    </w:p>
    <w:p>
      <w:pPr>
        <w:rPr>
          <w:sz w:val="24"/>
        </w:rPr>
      </w:pPr>
    </w:p>
    <w:p>
      <w:pPr>
        <w:spacing w:line="420" w:lineRule="exact"/>
        <w:ind w:firstLine="480" w:firstLineChars="200"/>
        <w:rPr>
          <w:sz w:val="24"/>
        </w:rPr>
      </w:pPr>
      <w:r>
        <w:rPr>
          <w:rFonts w:hint="eastAsia"/>
          <w:sz w:val="24"/>
        </w:rPr>
        <w:t>（根据《政府采购法》和《合同法》相关规定，采购人和中标人之间的权利和义务，应当按照平等、自愿的原则以合同方式约定。此合同书仅作为签订正式合同时的参考，正式合同书应包括本参考格式之内容。）</w:t>
      </w:r>
    </w:p>
    <w:p>
      <w:pPr>
        <w:spacing w:line="420" w:lineRule="exact"/>
        <w:ind w:firstLine="480" w:firstLineChars="200"/>
        <w:rPr>
          <w:sz w:val="24"/>
        </w:rPr>
      </w:pPr>
      <w:bookmarkStart w:id="3" w:name="_bookmark33"/>
      <w:bookmarkEnd w:id="3"/>
      <w:bookmarkStart w:id="4" w:name="合___同___书"/>
      <w:bookmarkEnd w:id="4"/>
      <w:r>
        <w:rPr>
          <w:rFonts w:hint="eastAsia"/>
          <w:sz w:val="24"/>
        </w:rPr>
        <w:t>合 同 书</w:t>
      </w:r>
    </w:p>
    <w:p>
      <w:pPr>
        <w:spacing w:line="420" w:lineRule="exact"/>
        <w:ind w:firstLine="480" w:firstLineChars="200"/>
        <w:rPr>
          <w:sz w:val="24"/>
        </w:rPr>
      </w:pPr>
      <w:r>
        <w:rPr>
          <w:rFonts w:hint="eastAsia"/>
          <w:sz w:val="24"/>
        </w:rPr>
        <w:t xml:space="preserve">项目名称： </w:t>
      </w:r>
    </w:p>
    <w:p>
      <w:pPr>
        <w:spacing w:line="420" w:lineRule="exact"/>
        <w:ind w:firstLine="480" w:firstLineChars="200"/>
        <w:rPr>
          <w:sz w:val="24"/>
        </w:rPr>
      </w:pPr>
      <w:r>
        <w:rPr>
          <w:rFonts w:hint="eastAsia"/>
          <w:sz w:val="24"/>
        </w:rPr>
        <w:t xml:space="preserve">合同编号： </w:t>
      </w:r>
    </w:p>
    <w:p>
      <w:pPr>
        <w:spacing w:line="420" w:lineRule="exact"/>
        <w:ind w:firstLine="480" w:firstLineChars="200"/>
        <w:rPr>
          <w:sz w:val="24"/>
        </w:rPr>
      </w:pPr>
      <w:r>
        <w:rPr>
          <w:rFonts w:hint="eastAsia"/>
          <w:sz w:val="24"/>
        </w:rPr>
        <w:t>签订日期：</w:t>
      </w:r>
    </w:p>
    <w:p>
      <w:pPr>
        <w:spacing w:line="420" w:lineRule="exact"/>
        <w:ind w:firstLine="480" w:firstLineChars="200"/>
        <w:rPr>
          <w:sz w:val="24"/>
        </w:rPr>
      </w:pPr>
      <w:r>
        <w:rPr>
          <w:rFonts w:hint="eastAsia"/>
          <w:sz w:val="24"/>
        </w:rPr>
        <w:t>签订合同地点：</w:t>
      </w:r>
    </w:p>
    <w:p>
      <w:pPr>
        <w:spacing w:line="420" w:lineRule="exact"/>
        <w:ind w:firstLine="480" w:firstLineChars="200"/>
        <w:rPr>
          <w:sz w:val="24"/>
        </w:rPr>
      </w:pPr>
      <w:r>
        <w:rPr>
          <w:rFonts w:hint="eastAsia"/>
          <w:sz w:val="24"/>
        </w:rPr>
        <w:t>本合同由</w:t>
      </w:r>
      <w:r>
        <w:rPr>
          <w:rFonts w:hint="eastAsia"/>
          <w:sz w:val="24"/>
          <w:u w:val="single"/>
        </w:rPr>
        <w:t>（以下简称“采购方”）</w:t>
      </w:r>
      <w:r>
        <w:rPr>
          <w:rFonts w:hint="eastAsia"/>
          <w:sz w:val="24"/>
        </w:rPr>
        <w:t>与</w:t>
      </w:r>
      <w:r>
        <w:rPr>
          <w:rFonts w:hint="eastAsia"/>
          <w:sz w:val="24"/>
          <w:u w:val="single"/>
        </w:rPr>
        <w:t>（以下简称“中标方”）</w:t>
      </w:r>
      <w:r>
        <w:rPr>
          <w:rFonts w:hint="eastAsia"/>
          <w:sz w:val="24"/>
        </w:rPr>
        <w:t>签订。中标方以总金额人民币</w:t>
      </w:r>
      <w:r>
        <w:rPr>
          <w:rFonts w:hint="eastAsia"/>
          <w:sz w:val="24"/>
          <w:u w:val="single"/>
        </w:rPr>
        <w:t>（用大写数字书写 ）</w:t>
      </w:r>
      <w:r>
        <w:rPr>
          <w:rFonts w:hint="eastAsia"/>
          <w:sz w:val="24"/>
        </w:rPr>
        <w:t>向采购方提供如下货物：</w:t>
      </w:r>
    </w:p>
    <w:p>
      <w:pPr>
        <w:spacing w:line="420" w:lineRule="exact"/>
        <w:ind w:firstLine="480" w:firstLineChars="200"/>
        <w:rPr>
          <w:sz w:val="24"/>
        </w:rPr>
      </w:pPr>
      <w:r>
        <w:rPr>
          <w:rFonts w:hint="eastAsia"/>
          <w:sz w:val="24"/>
        </w:rPr>
        <w:t>经双方协商，同意按下列条文执行：</w:t>
      </w:r>
    </w:p>
    <w:p>
      <w:pPr>
        <w:spacing w:line="420" w:lineRule="exact"/>
        <w:ind w:firstLine="480" w:firstLineChars="200"/>
        <w:rPr>
          <w:sz w:val="24"/>
        </w:rPr>
      </w:pPr>
      <w:r>
        <w:rPr>
          <w:rFonts w:hint="eastAsia"/>
          <w:sz w:val="24"/>
        </w:rPr>
        <w:t>1.本合同采购方、中标方双方必须遵守国家颁布的《中华人民共和国合同法》、《中华人民共和国政府采购法》，并各自履行应负的全部责任和义务。</w:t>
      </w:r>
    </w:p>
    <w:p>
      <w:pPr>
        <w:spacing w:line="420" w:lineRule="exact"/>
        <w:ind w:firstLine="480" w:firstLineChars="200"/>
        <w:rPr>
          <w:sz w:val="24"/>
        </w:rPr>
      </w:pPr>
      <w:r>
        <w:rPr>
          <w:rFonts w:hint="eastAsia"/>
          <w:sz w:val="24"/>
        </w:rPr>
        <w:t>2.采购方保证按合同条款规定的时间和方式付给中标方到期应付的货款，并承担应负的责任和义务。</w:t>
      </w:r>
    </w:p>
    <w:p>
      <w:pPr>
        <w:spacing w:line="420" w:lineRule="exact"/>
        <w:ind w:firstLine="480" w:firstLineChars="200"/>
        <w:rPr>
          <w:sz w:val="24"/>
        </w:rPr>
      </w:pPr>
      <w:r>
        <w:rPr>
          <w:rFonts w:hint="eastAsia"/>
          <w:sz w:val="24"/>
        </w:rPr>
        <w:t>3.中标方保证全部按合同条款规定的内容和交货期向采购方提供合格的货物，并承担应负的责任和义务。</w:t>
      </w:r>
    </w:p>
    <w:p>
      <w:pPr>
        <w:spacing w:line="420" w:lineRule="exact"/>
        <w:ind w:firstLine="480" w:firstLineChars="200"/>
        <w:rPr>
          <w:sz w:val="24"/>
        </w:rPr>
      </w:pPr>
      <w:r>
        <w:rPr>
          <w:rFonts w:hint="eastAsia"/>
          <w:sz w:val="24"/>
        </w:rPr>
        <w:t>4.合同文件</w:t>
      </w:r>
    </w:p>
    <w:p>
      <w:pPr>
        <w:spacing w:line="420" w:lineRule="exact"/>
        <w:ind w:firstLine="480" w:firstLineChars="200"/>
        <w:rPr>
          <w:sz w:val="24"/>
        </w:rPr>
      </w:pPr>
      <w:r>
        <w:rPr>
          <w:rFonts w:hint="eastAsia"/>
          <w:sz w:val="24"/>
        </w:rPr>
        <w:t>下列文件为本合同不可分割的部分：</w:t>
      </w:r>
    </w:p>
    <w:p>
      <w:pPr>
        <w:spacing w:line="420" w:lineRule="exact"/>
        <w:ind w:firstLine="480" w:firstLineChars="200"/>
        <w:rPr>
          <w:sz w:val="24"/>
        </w:rPr>
      </w:pPr>
      <w:r>
        <w:rPr>
          <w:rFonts w:hint="eastAsia"/>
          <w:sz w:val="24"/>
        </w:rPr>
        <w:t>4.1 招标文件(编号：</w:t>
      </w:r>
      <w:r>
        <w:rPr>
          <w:rFonts w:hint="eastAsia"/>
          <w:sz w:val="24"/>
        </w:rPr>
        <w:tab/>
      </w:r>
      <w:r>
        <w:rPr>
          <w:rFonts w:hint="eastAsia"/>
          <w:sz w:val="24"/>
        </w:rPr>
        <w:t>)；</w:t>
      </w:r>
    </w:p>
    <w:p>
      <w:pPr>
        <w:spacing w:line="420" w:lineRule="exact"/>
        <w:ind w:firstLine="480" w:firstLineChars="200"/>
        <w:rPr>
          <w:sz w:val="24"/>
        </w:rPr>
      </w:pPr>
      <w:r>
        <w:rPr>
          <w:rFonts w:hint="eastAsia"/>
          <w:sz w:val="24"/>
        </w:rPr>
        <w:t>4.2 中标方中标的投标文件；</w:t>
      </w:r>
    </w:p>
    <w:p>
      <w:pPr>
        <w:spacing w:line="420" w:lineRule="exact"/>
        <w:ind w:firstLine="480" w:firstLineChars="200"/>
        <w:rPr>
          <w:sz w:val="24"/>
        </w:rPr>
      </w:pPr>
      <w:r>
        <w:rPr>
          <w:rFonts w:hint="eastAsia"/>
          <w:sz w:val="24"/>
        </w:rPr>
        <w:t>4.3 合同书；</w:t>
      </w:r>
    </w:p>
    <w:p>
      <w:pPr>
        <w:spacing w:line="420" w:lineRule="exact"/>
        <w:ind w:firstLine="480" w:firstLineChars="200"/>
        <w:rPr>
          <w:sz w:val="24"/>
        </w:rPr>
      </w:pPr>
      <w:r>
        <w:rPr>
          <w:rFonts w:hint="eastAsia"/>
          <w:sz w:val="24"/>
        </w:rPr>
        <w:t>4.4 合同条款；</w:t>
      </w:r>
    </w:p>
    <w:p>
      <w:pPr>
        <w:spacing w:line="420" w:lineRule="exact"/>
        <w:ind w:firstLine="480" w:firstLineChars="200"/>
        <w:rPr>
          <w:sz w:val="24"/>
        </w:rPr>
      </w:pPr>
      <w:r>
        <w:rPr>
          <w:rFonts w:hint="eastAsia"/>
          <w:sz w:val="24"/>
        </w:rPr>
        <w:t>4.5 中标通知书；</w:t>
      </w:r>
    </w:p>
    <w:p>
      <w:pPr>
        <w:spacing w:line="420" w:lineRule="exact"/>
        <w:ind w:firstLine="480" w:firstLineChars="200"/>
        <w:rPr>
          <w:sz w:val="24"/>
        </w:rPr>
      </w:pPr>
      <w:r>
        <w:rPr>
          <w:rFonts w:hint="eastAsia"/>
          <w:sz w:val="24"/>
        </w:rPr>
        <w:t>4.6 附件；</w:t>
      </w:r>
    </w:p>
    <w:p>
      <w:pPr>
        <w:spacing w:line="420" w:lineRule="exact"/>
        <w:ind w:firstLine="480" w:firstLineChars="200"/>
        <w:rPr>
          <w:sz w:val="24"/>
        </w:rPr>
      </w:pPr>
      <w:r>
        <w:rPr>
          <w:rFonts w:hint="eastAsia"/>
          <w:sz w:val="24"/>
        </w:rPr>
        <w:t>4.6.1 采购方在招标期间发布的所有补充通知；</w:t>
      </w:r>
    </w:p>
    <w:p>
      <w:pPr>
        <w:spacing w:line="420" w:lineRule="exact"/>
        <w:ind w:firstLine="480" w:firstLineChars="200"/>
        <w:rPr>
          <w:sz w:val="24"/>
        </w:rPr>
      </w:pPr>
      <w:r>
        <w:rPr>
          <w:rFonts w:hint="eastAsia"/>
          <w:sz w:val="24"/>
        </w:rPr>
        <w:t>4.6.2 中标方在投标期内补充的所有书面文件；</w:t>
      </w:r>
    </w:p>
    <w:p>
      <w:pPr>
        <w:spacing w:line="420" w:lineRule="exact"/>
        <w:ind w:firstLine="480" w:firstLineChars="200"/>
        <w:rPr>
          <w:sz w:val="24"/>
        </w:rPr>
      </w:pPr>
      <w:r>
        <w:rPr>
          <w:rFonts w:hint="eastAsia"/>
          <w:sz w:val="24"/>
        </w:rPr>
        <w:t>4.6.3 中标方在投标时随同投标文件一起递送的资料及附图；</w:t>
      </w:r>
    </w:p>
    <w:p>
      <w:pPr>
        <w:spacing w:line="420" w:lineRule="exact"/>
        <w:ind w:firstLine="480" w:firstLineChars="200"/>
        <w:rPr>
          <w:sz w:val="24"/>
        </w:rPr>
      </w:pPr>
      <w:r>
        <w:rPr>
          <w:rFonts w:hint="eastAsia"/>
          <w:sz w:val="24"/>
        </w:rPr>
        <w:t xml:space="preserve">4.6.4 在商洽本合同时，双方澄清、确认并共同签字的补充文件、技术协议。  </w:t>
      </w:r>
    </w:p>
    <w:p>
      <w:pPr>
        <w:spacing w:line="420" w:lineRule="exact"/>
        <w:ind w:firstLine="480" w:firstLineChars="200"/>
        <w:rPr>
          <w:sz w:val="24"/>
        </w:rPr>
      </w:pPr>
      <w:r>
        <w:rPr>
          <w:rFonts w:hint="eastAsia"/>
          <w:sz w:val="24"/>
        </w:rPr>
        <w:t>5.合同范围和条件</w:t>
      </w:r>
    </w:p>
    <w:p>
      <w:pPr>
        <w:spacing w:line="420" w:lineRule="exact"/>
        <w:ind w:firstLine="480" w:firstLineChars="200"/>
        <w:rPr>
          <w:sz w:val="24"/>
        </w:rPr>
      </w:pPr>
      <w:r>
        <w:rPr>
          <w:rFonts w:hint="eastAsia"/>
          <w:sz w:val="24"/>
        </w:rPr>
        <w:t xml:space="preserve">本合同的范围和条件应与上述规定的合同文件内容相一致。 </w:t>
      </w:r>
    </w:p>
    <w:p>
      <w:pPr>
        <w:spacing w:line="420" w:lineRule="exact"/>
        <w:ind w:firstLine="480" w:firstLineChars="200"/>
        <w:rPr>
          <w:sz w:val="24"/>
        </w:rPr>
      </w:pPr>
      <w:r>
        <w:rPr>
          <w:rFonts w:hint="eastAsia"/>
          <w:sz w:val="24"/>
        </w:rPr>
        <w:t>6.货物及数量</w:t>
      </w:r>
    </w:p>
    <w:p>
      <w:pPr>
        <w:spacing w:line="420" w:lineRule="exact"/>
        <w:ind w:firstLine="480" w:firstLineChars="200"/>
        <w:rPr>
          <w:sz w:val="24"/>
        </w:rPr>
      </w:pPr>
      <w:bookmarkStart w:id="5" w:name="第六章__投标文件格式"/>
      <w:bookmarkEnd w:id="5"/>
      <w:r>
        <w:rPr>
          <w:rFonts w:hint="eastAsia"/>
          <w:sz w:val="24"/>
        </w:rPr>
        <w:t xml:space="preserve">本合同所提供的货物及数量详见招标文件的要求及中标方投标文件中的承诺。  </w:t>
      </w:r>
    </w:p>
    <w:p>
      <w:pPr>
        <w:spacing w:line="420" w:lineRule="exact"/>
        <w:ind w:firstLine="480" w:firstLineChars="200"/>
        <w:rPr>
          <w:sz w:val="24"/>
        </w:rPr>
      </w:pPr>
      <w:r>
        <w:rPr>
          <w:rFonts w:hint="eastAsia"/>
          <w:sz w:val="24"/>
        </w:rPr>
        <w:t xml:space="preserve">7.付款方式 </w:t>
      </w:r>
    </w:p>
    <w:p>
      <w:pPr>
        <w:spacing w:line="420" w:lineRule="exact"/>
        <w:ind w:firstLine="480" w:firstLineChars="200"/>
        <w:rPr>
          <w:sz w:val="24"/>
        </w:rPr>
      </w:pPr>
      <w:r>
        <w:rPr>
          <w:rFonts w:hint="eastAsia"/>
          <w:sz w:val="24"/>
        </w:rPr>
        <w:t xml:space="preserve"> </w:t>
      </w:r>
    </w:p>
    <w:p>
      <w:pPr>
        <w:spacing w:line="420" w:lineRule="exact"/>
        <w:ind w:firstLine="480" w:firstLineChars="200"/>
        <w:rPr>
          <w:sz w:val="24"/>
        </w:rPr>
      </w:pPr>
      <w:r>
        <w:rPr>
          <w:rFonts w:hint="eastAsia"/>
          <w:sz w:val="24"/>
        </w:rPr>
        <w:t>8.合同金额</w:t>
      </w:r>
    </w:p>
    <w:p>
      <w:pPr>
        <w:spacing w:line="420" w:lineRule="exact"/>
        <w:ind w:firstLine="480" w:firstLineChars="200"/>
        <w:rPr>
          <w:sz w:val="24"/>
        </w:rPr>
      </w:pPr>
      <w:r>
        <w:rPr>
          <w:rFonts w:hint="eastAsia"/>
          <w:sz w:val="24"/>
        </w:rPr>
        <w:t xml:space="preserve">合同总金额见合同书，分项价格在中标方的投标报价表中有明确规定。  </w:t>
      </w:r>
    </w:p>
    <w:p>
      <w:pPr>
        <w:spacing w:line="420" w:lineRule="exact"/>
        <w:ind w:firstLine="480" w:firstLineChars="200"/>
        <w:rPr>
          <w:sz w:val="24"/>
        </w:rPr>
      </w:pPr>
      <w:r>
        <w:rPr>
          <w:rFonts w:hint="eastAsia"/>
          <w:sz w:val="24"/>
        </w:rPr>
        <w:t>9.交货时间和交货地点</w:t>
      </w:r>
    </w:p>
    <w:p>
      <w:pPr>
        <w:spacing w:line="420" w:lineRule="exact"/>
        <w:ind w:firstLine="480" w:firstLineChars="200"/>
        <w:rPr>
          <w:sz w:val="24"/>
        </w:rPr>
      </w:pPr>
      <w:r>
        <w:rPr>
          <w:rFonts w:hint="eastAsia"/>
          <w:sz w:val="24"/>
        </w:rPr>
        <w:t>本合同中货物的交货时间、交货地点在招标文件中有明确规定。</w:t>
      </w:r>
    </w:p>
    <w:p>
      <w:pPr>
        <w:spacing w:line="420" w:lineRule="exact"/>
        <w:ind w:firstLine="480" w:firstLineChars="200"/>
        <w:rPr>
          <w:sz w:val="24"/>
        </w:rPr>
      </w:pPr>
      <w:r>
        <w:rPr>
          <w:rFonts w:hint="eastAsia"/>
          <w:sz w:val="24"/>
        </w:rPr>
        <w:t>10.合同生效</w:t>
      </w:r>
    </w:p>
    <w:p>
      <w:pPr>
        <w:spacing w:line="420" w:lineRule="exact"/>
        <w:ind w:firstLine="480" w:firstLineChars="200"/>
        <w:rPr>
          <w:sz w:val="24"/>
        </w:rPr>
      </w:pPr>
      <w:r>
        <w:rPr>
          <w:rFonts w:hint="eastAsia"/>
          <w:sz w:val="24"/>
        </w:rPr>
        <w:t>本合同经双方授权代表签字和加盖公章（或合同专用章）后生效。如招标申请公证的，合同需经公证机构公证后生效。</w:t>
      </w:r>
    </w:p>
    <w:p>
      <w:pPr>
        <w:spacing w:line="420" w:lineRule="exact"/>
        <w:ind w:firstLine="480" w:firstLineChars="200"/>
        <w:rPr>
          <w:sz w:val="24"/>
        </w:rPr>
      </w:pPr>
      <w:r>
        <w:rPr>
          <w:rFonts w:hint="eastAsia"/>
          <w:sz w:val="24"/>
        </w:rPr>
        <w:t>11.合同的份数</w:t>
      </w:r>
    </w:p>
    <w:p>
      <w:pPr>
        <w:spacing w:line="420" w:lineRule="exact"/>
        <w:ind w:firstLine="480" w:firstLineChars="200"/>
        <w:rPr>
          <w:sz w:val="24"/>
        </w:rPr>
      </w:pPr>
      <w:r>
        <w:rPr>
          <w:rFonts w:hint="eastAsia"/>
          <w:sz w:val="24"/>
        </w:rPr>
        <w:t>本合同正本一式肆份，采购方执</w:t>
      </w:r>
      <w:r>
        <w:rPr>
          <w:rFonts w:hint="eastAsia"/>
          <w:sz w:val="24"/>
          <w:lang w:eastAsia="zh-CN"/>
        </w:rPr>
        <w:t>贰</w:t>
      </w:r>
      <w:r>
        <w:rPr>
          <w:rFonts w:hint="eastAsia"/>
          <w:sz w:val="24"/>
        </w:rPr>
        <w:t xml:space="preserve">份，中标方执贰份。 </w:t>
      </w:r>
    </w:p>
    <w:p>
      <w:pPr>
        <w:spacing w:line="420" w:lineRule="exact"/>
        <w:ind w:firstLine="480" w:firstLineChars="200"/>
        <w:rPr>
          <w:sz w:val="24"/>
        </w:rPr>
      </w:pPr>
      <w:r>
        <w:rPr>
          <w:rFonts w:hint="eastAsia"/>
          <w:sz w:val="24"/>
        </w:rPr>
        <w:t>12.合同的失效</w:t>
      </w:r>
    </w:p>
    <w:p>
      <w:pPr>
        <w:spacing w:line="420" w:lineRule="exact"/>
        <w:ind w:firstLine="480" w:firstLineChars="200"/>
        <w:rPr>
          <w:sz w:val="24"/>
        </w:rPr>
      </w:pPr>
      <w:r>
        <w:rPr>
          <w:rFonts w:hint="eastAsia"/>
          <w:sz w:val="24"/>
        </w:rPr>
        <w:t>本合同在合同价款全部结清后失效。</w:t>
      </w:r>
    </w:p>
    <w:p>
      <w:pPr>
        <w:spacing w:line="420" w:lineRule="exact"/>
        <w:rPr>
          <w:sz w:val="24"/>
        </w:rPr>
      </w:pPr>
    </w:p>
    <w:p>
      <w:pPr>
        <w:spacing w:line="420" w:lineRule="exact"/>
        <w:rPr>
          <w:sz w:val="24"/>
        </w:rPr>
      </w:pPr>
    </w:p>
    <w:p>
      <w:pPr>
        <w:spacing w:line="420" w:lineRule="exact"/>
        <w:rPr>
          <w:sz w:val="24"/>
        </w:rPr>
      </w:pPr>
      <w:r>
        <w:rPr>
          <w:rFonts w:hint="eastAsia"/>
          <w:sz w:val="24"/>
        </w:rPr>
        <w:t>采购方：</w:t>
      </w:r>
      <w:r>
        <w:rPr>
          <w:rFonts w:hint="eastAsia"/>
          <w:sz w:val="24"/>
        </w:rPr>
        <w:tab/>
      </w:r>
      <w:r>
        <w:rPr>
          <w:rFonts w:hint="eastAsia"/>
          <w:sz w:val="24"/>
        </w:rPr>
        <w:t xml:space="preserve">                           中标方：</w:t>
      </w:r>
    </w:p>
    <w:p>
      <w:pPr>
        <w:spacing w:line="420" w:lineRule="exact"/>
        <w:rPr>
          <w:sz w:val="24"/>
        </w:rPr>
      </w:pPr>
      <w:r>
        <w:rPr>
          <w:rFonts w:hint="eastAsia"/>
          <w:sz w:val="24"/>
        </w:rPr>
        <w:t xml:space="preserve">单位名称（盖章）：        </w:t>
      </w:r>
      <w:r>
        <w:rPr>
          <w:rFonts w:hint="eastAsia"/>
          <w:sz w:val="24"/>
        </w:rPr>
        <w:tab/>
      </w:r>
      <w:r>
        <w:rPr>
          <w:rFonts w:hint="eastAsia"/>
          <w:sz w:val="24"/>
        </w:rPr>
        <w:t xml:space="preserve">          单位名称（盖章）：</w:t>
      </w:r>
    </w:p>
    <w:p>
      <w:pPr>
        <w:spacing w:line="420" w:lineRule="exact"/>
        <w:rPr>
          <w:sz w:val="24"/>
        </w:rPr>
      </w:pPr>
      <w:r>
        <w:rPr>
          <w:rFonts w:hint="eastAsia"/>
          <w:sz w:val="24"/>
        </w:rPr>
        <w:t>单位地址：                            单位地址：</w:t>
      </w:r>
    </w:p>
    <w:p>
      <w:pPr>
        <w:spacing w:line="420" w:lineRule="exact"/>
        <w:rPr>
          <w:sz w:val="24"/>
        </w:rPr>
      </w:pPr>
      <w:r>
        <w:rPr>
          <w:rFonts w:hint="eastAsia"/>
          <w:sz w:val="24"/>
        </w:rPr>
        <w:t>法人代表或授权代表(签字)：</w:t>
      </w:r>
      <w:r>
        <w:rPr>
          <w:rFonts w:hint="eastAsia"/>
          <w:sz w:val="24"/>
        </w:rPr>
        <w:tab/>
      </w:r>
      <w:r>
        <w:rPr>
          <w:rFonts w:hint="eastAsia"/>
          <w:sz w:val="24"/>
        </w:rPr>
        <w:t xml:space="preserve">          法人代表或授权代表(签字)： </w:t>
      </w:r>
    </w:p>
    <w:p>
      <w:pPr>
        <w:spacing w:line="420" w:lineRule="exact"/>
        <w:rPr>
          <w:sz w:val="24"/>
        </w:rPr>
      </w:pPr>
      <w:r>
        <w:rPr>
          <w:rFonts w:hint="eastAsia"/>
          <w:sz w:val="24"/>
        </w:rPr>
        <w:t>联 系 人：</w:t>
      </w:r>
      <w:r>
        <w:rPr>
          <w:rFonts w:hint="eastAsia"/>
          <w:sz w:val="24"/>
        </w:rPr>
        <w:tab/>
      </w:r>
      <w:r>
        <w:rPr>
          <w:rFonts w:hint="eastAsia"/>
          <w:sz w:val="24"/>
        </w:rPr>
        <w:t xml:space="preserve">                            联 系 人：</w:t>
      </w:r>
    </w:p>
    <w:p>
      <w:pPr>
        <w:spacing w:line="420" w:lineRule="exact"/>
        <w:rPr>
          <w:sz w:val="24"/>
        </w:rPr>
      </w:pPr>
      <w:r>
        <w:rPr>
          <w:rFonts w:hint="eastAsia"/>
          <w:sz w:val="24"/>
        </w:rPr>
        <w:t>电</w:t>
      </w:r>
      <w:r>
        <w:rPr>
          <w:rFonts w:hint="eastAsia"/>
          <w:sz w:val="24"/>
        </w:rPr>
        <w:tab/>
      </w:r>
      <w:r>
        <w:rPr>
          <w:rFonts w:hint="eastAsia"/>
          <w:sz w:val="24"/>
        </w:rPr>
        <w:t>话：</w:t>
      </w:r>
      <w:r>
        <w:rPr>
          <w:rFonts w:hint="eastAsia"/>
          <w:sz w:val="24"/>
        </w:rPr>
        <w:tab/>
      </w:r>
      <w:r>
        <w:rPr>
          <w:rFonts w:hint="eastAsia"/>
          <w:sz w:val="24"/>
        </w:rPr>
        <w:t xml:space="preserve">        </w:t>
      </w:r>
      <w:r>
        <w:rPr>
          <w:rFonts w:hint="eastAsia"/>
          <w:sz w:val="24"/>
        </w:rPr>
        <w:tab/>
      </w:r>
      <w:r>
        <w:rPr>
          <w:rFonts w:hint="eastAsia"/>
          <w:sz w:val="24"/>
        </w:rPr>
        <w:t xml:space="preserve">                 电</w:t>
      </w:r>
      <w:r>
        <w:rPr>
          <w:rFonts w:hint="eastAsia"/>
          <w:sz w:val="24"/>
        </w:rPr>
        <w:tab/>
      </w:r>
      <w:r>
        <w:rPr>
          <w:rFonts w:hint="eastAsia"/>
          <w:sz w:val="24"/>
        </w:rPr>
        <w:t>话：</w:t>
      </w:r>
    </w:p>
    <w:p>
      <w:pPr>
        <w:spacing w:line="420" w:lineRule="exact"/>
        <w:rPr>
          <w:sz w:val="24"/>
        </w:rPr>
      </w:pPr>
      <w:r>
        <w:rPr>
          <w:rFonts w:hint="eastAsia"/>
          <w:sz w:val="24"/>
        </w:rPr>
        <w:t>传</w:t>
      </w:r>
      <w:r>
        <w:rPr>
          <w:rFonts w:hint="eastAsia"/>
          <w:sz w:val="24"/>
        </w:rPr>
        <w:tab/>
      </w:r>
      <w:r>
        <w:rPr>
          <w:rFonts w:hint="eastAsia"/>
          <w:sz w:val="24"/>
        </w:rPr>
        <w:t>真：</w:t>
      </w:r>
      <w:r>
        <w:rPr>
          <w:rFonts w:hint="eastAsia"/>
          <w:sz w:val="24"/>
        </w:rPr>
        <w:tab/>
      </w:r>
      <w:r>
        <w:rPr>
          <w:rFonts w:hint="eastAsia"/>
          <w:sz w:val="24"/>
        </w:rPr>
        <w:t xml:space="preserve">        </w:t>
      </w:r>
      <w:r>
        <w:rPr>
          <w:rFonts w:hint="eastAsia"/>
          <w:sz w:val="24"/>
        </w:rPr>
        <w:tab/>
      </w:r>
      <w:r>
        <w:rPr>
          <w:rFonts w:hint="eastAsia"/>
          <w:sz w:val="24"/>
        </w:rPr>
        <w:t xml:space="preserve">                 传  真：</w:t>
      </w:r>
    </w:p>
    <w:p>
      <w:pPr>
        <w:spacing w:line="420" w:lineRule="exact"/>
        <w:rPr>
          <w:sz w:val="24"/>
        </w:rPr>
      </w:pPr>
      <w:r>
        <w:rPr>
          <w:rFonts w:hint="eastAsia"/>
          <w:sz w:val="24"/>
        </w:rPr>
        <w:t>邮政编码：</w:t>
      </w:r>
      <w:r>
        <w:rPr>
          <w:rFonts w:hint="eastAsia"/>
          <w:sz w:val="24"/>
        </w:rPr>
        <w:tab/>
      </w:r>
      <w:r>
        <w:rPr>
          <w:rFonts w:hint="eastAsia"/>
          <w:sz w:val="24"/>
        </w:rPr>
        <w:t xml:space="preserve">                </w:t>
      </w:r>
      <w:r>
        <w:rPr>
          <w:rFonts w:hint="eastAsia"/>
          <w:sz w:val="24"/>
        </w:rPr>
        <w:tab/>
      </w:r>
      <w:r>
        <w:rPr>
          <w:rFonts w:hint="eastAsia"/>
          <w:sz w:val="24"/>
        </w:rPr>
        <w:t xml:space="preserve">          邮政编码：</w:t>
      </w:r>
    </w:p>
    <w:p>
      <w:pPr>
        <w:spacing w:line="420" w:lineRule="exact"/>
        <w:rPr>
          <w:sz w:val="24"/>
        </w:rPr>
      </w:pPr>
      <w:r>
        <w:rPr>
          <w:rFonts w:hint="eastAsia"/>
          <w:sz w:val="24"/>
        </w:rPr>
        <w:t xml:space="preserve">开户银行：        </w:t>
      </w:r>
      <w:r>
        <w:rPr>
          <w:rFonts w:hint="eastAsia"/>
          <w:sz w:val="24"/>
        </w:rPr>
        <w:tab/>
      </w:r>
      <w:r>
        <w:rPr>
          <w:rFonts w:hint="eastAsia"/>
          <w:sz w:val="24"/>
        </w:rPr>
        <w:t xml:space="preserve">              </w:t>
      </w:r>
      <w:r>
        <w:rPr>
          <w:rFonts w:hint="eastAsia"/>
          <w:sz w:val="24"/>
        </w:rPr>
        <w:tab/>
      </w:r>
      <w:r>
        <w:rPr>
          <w:rFonts w:hint="eastAsia"/>
          <w:sz w:val="24"/>
        </w:rPr>
        <w:t>开户银行：</w:t>
      </w:r>
    </w:p>
    <w:p>
      <w:pPr>
        <w:spacing w:line="420" w:lineRule="exact"/>
        <w:rPr>
          <w:sz w:val="24"/>
        </w:rPr>
      </w:pPr>
      <w:r>
        <w:rPr>
          <w:rFonts w:hint="eastAsia"/>
          <w:sz w:val="24"/>
        </w:rPr>
        <w:t>帐</w:t>
      </w:r>
      <w:r>
        <w:rPr>
          <w:rFonts w:hint="eastAsia"/>
          <w:sz w:val="24"/>
        </w:rPr>
        <w:tab/>
      </w:r>
      <w:r>
        <w:rPr>
          <w:rFonts w:hint="eastAsia"/>
          <w:sz w:val="24"/>
        </w:rPr>
        <w:t>号：</w:t>
      </w:r>
      <w:r>
        <w:rPr>
          <w:rFonts w:hint="eastAsia"/>
          <w:sz w:val="24"/>
        </w:rPr>
        <w:tab/>
      </w:r>
      <w:r>
        <w:rPr>
          <w:rFonts w:hint="eastAsia"/>
          <w:sz w:val="24"/>
        </w:rPr>
        <w:t xml:space="preserve">        </w:t>
      </w:r>
      <w:r>
        <w:rPr>
          <w:rFonts w:hint="eastAsia"/>
          <w:sz w:val="24"/>
        </w:rPr>
        <w:tab/>
      </w:r>
      <w:r>
        <w:rPr>
          <w:rFonts w:hint="eastAsia"/>
          <w:sz w:val="24"/>
        </w:rPr>
        <w:t xml:space="preserve">                 帐</w:t>
      </w:r>
      <w:r>
        <w:rPr>
          <w:rFonts w:hint="eastAsia"/>
          <w:sz w:val="24"/>
        </w:rPr>
        <w:tab/>
      </w:r>
      <w:r>
        <w:rPr>
          <w:rFonts w:hint="eastAsia"/>
          <w:sz w:val="24"/>
        </w:rPr>
        <w:t>号：</w:t>
      </w:r>
    </w:p>
    <w:p>
      <w:pPr>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br w:type="page"/>
      </w:r>
    </w:p>
    <w:p>
      <w:pPr>
        <w:jc w:val="center"/>
        <w:rPr>
          <w:rFonts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第六章  投标文件格式</w:t>
      </w:r>
    </w:p>
    <w:p>
      <w:pPr>
        <w:spacing w:line="540" w:lineRule="exact"/>
        <w:jc w:val="center"/>
        <w:rPr>
          <w:rFonts w:ascii="黑体" w:hAnsi="黑体" w:eastAsia="黑体" w:cs="黑体"/>
          <w:sz w:val="44"/>
          <w:szCs w:val="44"/>
        </w:rPr>
      </w:pPr>
    </w:p>
    <w:p>
      <w:pPr>
        <w:pStyle w:val="29"/>
        <w:rPr>
          <w:rFonts w:hint="default"/>
        </w:rPr>
      </w:pPr>
    </w:p>
    <w:p>
      <w:pPr>
        <w:spacing w:afterLines="30"/>
        <w:jc w:val="center"/>
        <w:rPr>
          <w:rFonts w:hint="eastAsia" w:ascii="汉仪大宋简" w:hAnsi="汉仪大宋简" w:eastAsia="汉仪大宋简"/>
          <w:b/>
          <w:bCs/>
          <w:sz w:val="60"/>
          <w:szCs w:val="60"/>
          <w:lang w:eastAsia="zh-CN"/>
        </w:rPr>
      </w:pPr>
      <w:r>
        <w:rPr>
          <w:rFonts w:hint="eastAsia" w:ascii="汉仪大宋简" w:hAnsi="汉仪大宋简" w:eastAsia="汉仪大宋简"/>
          <w:b/>
          <w:bCs/>
          <w:sz w:val="60"/>
          <w:szCs w:val="60"/>
          <w:lang w:eastAsia="zh-CN"/>
        </w:rPr>
        <w:t>荆州区电子商务进农村省级示范项目</w:t>
      </w:r>
    </w:p>
    <w:p>
      <w:pPr>
        <w:pStyle w:val="29"/>
        <w:rPr>
          <w:rFonts w:hint="eastAsia" w:ascii="汉仪大宋简" w:hAnsi="汉仪大宋简" w:eastAsia="汉仪大宋简"/>
          <w:b/>
          <w:bCs/>
          <w:sz w:val="60"/>
          <w:szCs w:val="60"/>
          <w:lang w:eastAsia="zh-CN"/>
        </w:rPr>
      </w:pPr>
    </w:p>
    <w:p>
      <w:pPr>
        <w:pStyle w:val="29"/>
        <w:rPr>
          <w:rFonts w:hint="eastAsia" w:ascii="仿宋_GB2312" w:hAnsi="仿宋_GB2312" w:eastAsia="仿宋_GB2312" w:cs="仿宋_GB2312"/>
          <w:b/>
          <w:bCs/>
          <w:sz w:val="30"/>
          <w:szCs w:val="30"/>
          <w:lang w:eastAsia="zh-CN"/>
        </w:rPr>
      </w:pPr>
    </w:p>
    <w:p>
      <w:pPr>
        <w:spacing w:afterLines="30"/>
        <w:jc w:val="center"/>
        <w:rPr>
          <w:rFonts w:ascii="汉仪大宋简" w:hAnsi="汉仪大宋简" w:eastAsia="汉仪大宋简"/>
          <w:b/>
          <w:bCs/>
          <w:sz w:val="70"/>
          <w:szCs w:val="18"/>
        </w:rPr>
      </w:pPr>
      <w:r>
        <w:rPr>
          <w:rFonts w:hint="eastAsia" w:ascii="汉仪大宋简" w:hAnsi="汉仪大宋简" w:eastAsia="汉仪大宋简"/>
          <w:b/>
          <w:bCs/>
          <w:sz w:val="70"/>
          <w:szCs w:val="18"/>
        </w:rPr>
        <w:t>投  标  文  件</w:t>
      </w:r>
    </w:p>
    <w:p>
      <w:pPr>
        <w:spacing w:afterLines="30"/>
        <w:jc w:val="center"/>
        <w:rPr>
          <w:rFonts w:ascii="文鼎CS大宋" w:hAnsi="文鼎CS大宋" w:eastAsia="文鼎CS大宋"/>
          <w:b/>
          <w:bCs/>
          <w:sz w:val="44"/>
        </w:rPr>
      </w:pPr>
      <w:r>
        <w:rPr>
          <w:rFonts w:hint="eastAsia" w:ascii="文鼎CS大宋" w:hAnsi="文鼎CS大宋" w:eastAsia="文鼎CS大宋"/>
          <w:b/>
          <w:bCs/>
          <w:sz w:val="44"/>
        </w:rPr>
        <w:t>（正本/副本）</w:t>
      </w:r>
    </w:p>
    <w:p>
      <w:pPr>
        <w:ind w:firstLine="640" w:firstLineChars="200"/>
        <w:jc w:val="left"/>
        <w:rPr>
          <w:sz w:val="32"/>
        </w:rPr>
      </w:pPr>
    </w:p>
    <w:p>
      <w:pPr>
        <w:ind w:firstLine="640" w:firstLineChars="200"/>
        <w:jc w:val="left"/>
        <w:rPr>
          <w:sz w:val="32"/>
        </w:rPr>
      </w:pPr>
    </w:p>
    <w:p>
      <w:pPr>
        <w:spacing w:line="480" w:lineRule="auto"/>
        <w:rPr>
          <w:rFonts w:ascii="宋体" w:hAnsi="宋体"/>
          <w:b/>
          <w:bCs/>
          <w:sz w:val="36"/>
        </w:rPr>
      </w:pPr>
      <w:r>
        <w:rPr>
          <w:rFonts w:hint="eastAsia" w:ascii="宋体" w:hAnsi="宋体"/>
          <w:b/>
          <w:bCs/>
          <w:sz w:val="36"/>
        </w:rPr>
        <w:t xml:space="preserve">     项目编号：</w:t>
      </w:r>
    </w:p>
    <w:p>
      <w:pPr>
        <w:spacing w:line="480" w:lineRule="auto"/>
        <w:ind w:left="2745" w:leftChars="450" w:hanging="1800" w:hangingChars="498"/>
        <w:rPr>
          <w:rFonts w:ascii="宋体" w:hAnsi="宋体"/>
          <w:b/>
          <w:bCs/>
          <w:sz w:val="36"/>
        </w:rPr>
      </w:pPr>
      <w:r>
        <w:rPr>
          <w:rFonts w:hint="eastAsia" w:ascii="宋体" w:hAnsi="宋体"/>
          <w:b/>
          <w:bCs/>
          <w:sz w:val="36"/>
        </w:rPr>
        <w:t>项目名称：</w:t>
      </w:r>
    </w:p>
    <w:p>
      <w:pPr>
        <w:spacing w:line="480" w:lineRule="auto"/>
        <w:ind w:left="2745" w:leftChars="450" w:hanging="1800" w:hangingChars="498"/>
        <w:rPr>
          <w:rFonts w:ascii="宋体" w:hAnsi="宋体"/>
          <w:b/>
          <w:bCs/>
          <w:sz w:val="36"/>
        </w:rPr>
      </w:pPr>
      <w:r>
        <w:rPr>
          <w:rFonts w:hint="eastAsia" w:ascii="宋体" w:hAnsi="宋体"/>
          <w:b/>
          <w:bCs/>
          <w:sz w:val="36"/>
        </w:rPr>
        <w:t>投标内容：</w:t>
      </w:r>
    </w:p>
    <w:p>
      <w:pPr>
        <w:ind w:firstLine="640" w:firstLineChars="200"/>
        <w:jc w:val="left"/>
        <w:rPr>
          <w:sz w:val="32"/>
        </w:rPr>
      </w:pPr>
    </w:p>
    <w:p>
      <w:pPr>
        <w:pStyle w:val="9"/>
        <w:rPr>
          <w:sz w:val="32"/>
        </w:rPr>
      </w:pPr>
    </w:p>
    <w:p>
      <w:pPr>
        <w:pStyle w:val="9"/>
        <w:rPr>
          <w:sz w:val="32"/>
        </w:rPr>
      </w:pPr>
    </w:p>
    <w:p>
      <w:pPr>
        <w:ind w:firstLine="640" w:firstLineChars="200"/>
        <w:jc w:val="left"/>
        <w:rPr>
          <w:sz w:val="32"/>
        </w:rPr>
      </w:pPr>
    </w:p>
    <w:p>
      <w:pPr>
        <w:ind w:firstLine="2592" w:firstLineChars="720"/>
        <w:rPr>
          <w:rFonts w:ascii="宋体" w:hAnsi="宋体"/>
          <w:b/>
          <w:bCs/>
          <w:sz w:val="30"/>
          <w:szCs w:val="30"/>
        </w:rPr>
      </w:pPr>
      <w:r>
        <w:rPr>
          <w:rFonts w:hint="eastAsia" w:ascii="文鼎CS楷体" w:hAnsi="文鼎CS楷体" w:eastAsia="文鼎CS楷体"/>
          <w:sz w:val="36"/>
        </w:rPr>
        <w:t xml:space="preserve">   </w:t>
      </w:r>
      <w:r>
        <w:rPr>
          <w:rFonts w:hint="eastAsia" w:ascii="宋体" w:hAnsi="宋体"/>
          <w:b/>
          <w:bCs/>
          <w:sz w:val="30"/>
          <w:szCs w:val="30"/>
        </w:rPr>
        <w:t xml:space="preserve">投标人名称：（盖章）              </w:t>
      </w:r>
    </w:p>
    <w:p>
      <w:pPr>
        <w:ind w:firstLine="2168" w:firstLineChars="720"/>
        <w:rPr>
          <w:rFonts w:ascii="宋体" w:hAnsi="宋体"/>
          <w:b/>
          <w:bCs/>
          <w:sz w:val="30"/>
          <w:szCs w:val="30"/>
        </w:rPr>
      </w:pPr>
      <w:r>
        <w:rPr>
          <w:rFonts w:hint="eastAsia" w:ascii="宋体" w:hAnsi="宋体"/>
          <w:b/>
          <w:bCs/>
          <w:sz w:val="30"/>
          <w:szCs w:val="30"/>
        </w:rPr>
        <w:t xml:space="preserve">投标人法人授权代表（签字或盖章）：      </w:t>
      </w:r>
    </w:p>
    <w:p>
      <w:pPr>
        <w:pStyle w:val="9"/>
        <w:spacing w:line="440" w:lineRule="exact"/>
        <w:ind w:firstLine="602" w:firstLineChars="200"/>
        <w:jc w:val="center"/>
        <w:rPr>
          <w:rFonts w:ascii="宋体" w:hAnsi="宋体"/>
          <w:b/>
          <w:sz w:val="30"/>
          <w:szCs w:val="30"/>
        </w:rPr>
      </w:pPr>
      <w:r>
        <w:rPr>
          <w:rFonts w:hint="eastAsia" w:ascii="宋体" w:hAnsi="宋体"/>
          <w:b/>
          <w:sz w:val="30"/>
          <w:szCs w:val="30"/>
        </w:rPr>
        <w:t>二O    年   月</w:t>
      </w:r>
    </w:p>
    <w:p>
      <w:pPr>
        <w:rPr>
          <w:rFonts w:hint="eastAsia" w:ascii="宋体" w:hAnsi="宋体" w:eastAsia="宋体" w:cs="Corbel"/>
          <w:sz w:val="36"/>
          <w:szCs w:val="36"/>
        </w:rPr>
      </w:pPr>
      <w:r>
        <w:rPr>
          <w:rFonts w:hint="eastAsia" w:ascii="宋体" w:hAnsi="宋体" w:eastAsia="宋体" w:cs="Corbel"/>
          <w:sz w:val="36"/>
          <w:szCs w:val="36"/>
        </w:rPr>
        <w:br w:type="page"/>
      </w:r>
    </w:p>
    <w:p>
      <w:pPr>
        <w:pStyle w:val="4"/>
        <w:rPr>
          <w:rFonts w:ascii="宋体" w:hAnsi="宋体" w:eastAsia="宋体"/>
        </w:rPr>
      </w:pPr>
      <w:r>
        <w:rPr>
          <w:rFonts w:hint="eastAsia" w:ascii="宋体" w:hAnsi="宋体" w:eastAsia="宋体" w:cs="Corbel"/>
          <w:sz w:val="36"/>
          <w:szCs w:val="36"/>
        </w:rPr>
        <w:t>附件一：投标书</w:t>
      </w:r>
    </w:p>
    <w:p>
      <w:pPr>
        <w:adjustRightInd w:val="0"/>
        <w:snapToGrid w:val="0"/>
        <w:spacing w:line="288" w:lineRule="auto"/>
        <w:rPr>
          <w:rFonts w:ascii="宋体" w:hAnsi="宋体"/>
          <w:sz w:val="24"/>
        </w:rPr>
      </w:pPr>
      <w:r>
        <w:rPr>
          <w:rFonts w:hint="eastAsia" w:ascii="宋体" w:hAnsi="宋体"/>
          <w:sz w:val="24"/>
          <w:u w:val="single"/>
        </w:rPr>
        <w:t xml:space="preserve">                              </w:t>
      </w:r>
      <w:r>
        <w:rPr>
          <w:rFonts w:hint="eastAsia" w:ascii="宋体" w:hAnsi="宋体"/>
          <w:sz w:val="24"/>
        </w:rPr>
        <w:t>：</w:t>
      </w:r>
    </w:p>
    <w:p>
      <w:pPr>
        <w:autoSpaceDE w:val="0"/>
        <w:autoSpaceDN w:val="0"/>
        <w:adjustRightInd w:val="0"/>
        <w:spacing w:line="288" w:lineRule="auto"/>
        <w:ind w:right="26" w:firstLine="480" w:firstLineChars="200"/>
        <w:rPr>
          <w:rFonts w:ascii="宋体" w:hAnsi="宋体"/>
          <w:kern w:val="0"/>
          <w:sz w:val="24"/>
        </w:rPr>
      </w:pPr>
      <w:r>
        <w:rPr>
          <w:rFonts w:hint="eastAsia" w:ascii="宋体" w:hAnsi="宋体"/>
          <w:kern w:val="0"/>
          <w:sz w:val="24"/>
        </w:rPr>
        <w:t>依据贵方</w:t>
      </w:r>
      <w:r>
        <w:rPr>
          <w:rFonts w:hint="eastAsia" w:ascii="宋体" w:hAnsi="宋体"/>
          <w:sz w:val="24"/>
        </w:rPr>
        <w:t xml:space="preserve"> (项目名称/项目编号) </w:t>
      </w:r>
      <w:r>
        <w:rPr>
          <w:rFonts w:hint="eastAsia" w:ascii="宋体" w:hAnsi="宋体"/>
          <w:kern w:val="0"/>
          <w:sz w:val="24"/>
        </w:rPr>
        <w:t>项目招标采购货物及服务的投标邀请，我方代表</w:t>
      </w:r>
      <w:r>
        <w:rPr>
          <w:rFonts w:hint="eastAsia" w:ascii="宋体" w:hAnsi="宋体"/>
          <w:sz w:val="24"/>
        </w:rPr>
        <w:t>（姓名、职务）</w:t>
      </w:r>
      <w:r>
        <w:rPr>
          <w:rFonts w:hint="eastAsia" w:ascii="宋体" w:hAnsi="宋体"/>
          <w:kern w:val="0"/>
          <w:sz w:val="24"/>
        </w:rPr>
        <w:t>经正式授权并代表投标人</w:t>
      </w:r>
      <w:r>
        <w:rPr>
          <w:rFonts w:hint="eastAsia" w:ascii="宋体" w:hAnsi="宋体"/>
          <w:sz w:val="24"/>
        </w:rPr>
        <w:t>（投标人名称、地址）</w:t>
      </w:r>
      <w:r>
        <w:rPr>
          <w:rFonts w:hint="eastAsia" w:ascii="宋体" w:hAnsi="宋体"/>
          <w:kern w:val="0"/>
          <w:sz w:val="24"/>
        </w:rPr>
        <w:t>提交下述文件正本一份，副本   份。</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1．</w:t>
      </w:r>
      <w:r>
        <w:rPr>
          <w:rFonts w:hint="eastAsia" w:ascii="宋体" w:hAnsi="宋体"/>
          <w:kern w:val="0"/>
          <w:sz w:val="24"/>
          <w:lang w:eastAsia="zh-CN"/>
        </w:rPr>
        <w:t>报价</w:t>
      </w:r>
      <w:r>
        <w:rPr>
          <w:rFonts w:hint="eastAsia" w:ascii="宋体" w:hAnsi="宋体"/>
          <w:kern w:val="0"/>
          <w:sz w:val="24"/>
        </w:rPr>
        <w:t>一览表；</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2．</w:t>
      </w:r>
      <w:r>
        <w:rPr>
          <w:rFonts w:hint="eastAsia" w:ascii="宋体" w:hAnsi="宋体"/>
          <w:kern w:val="0"/>
          <w:sz w:val="24"/>
          <w:lang w:eastAsia="zh-CN"/>
        </w:rPr>
        <w:t>分项</w:t>
      </w:r>
      <w:r>
        <w:rPr>
          <w:rFonts w:hint="eastAsia" w:ascii="宋体" w:hAnsi="宋体"/>
          <w:kern w:val="0"/>
          <w:sz w:val="24"/>
        </w:rPr>
        <w:t>报价明细表；</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3．投标货物、服务清单；</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4．按招标文件投标人须知和技术规格要求提供的有关文件；</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5．资格证明文件。</w:t>
      </w:r>
    </w:p>
    <w:p>
      <w:pPr>
        <w:autoSpaceDE w:val="0"/>
        <w:autoSpaceDN w:val="0"/>
        <w:adjustRightInd w:val="0"/>
        <w:spacing w:line="288" w:lineRule="auto"/>
        <w:ind w:right="246"/>
        <w:rPr>
          <w:rFonts w:ascii="宋体" w:hAnsi="宋体"/>
          <w:b/>
          <w:kern w:val="0"/>
          <w:sz w:val="24"/>
        </w:rPr>
      </w:pPr>
      <w:r>
        <w:rPr>
          <w:rFonts w:hint="eastAsia" w:ascii="宋体" w:hAnsi="宋体"/>
          <w:b/>
          <w:kern w:val="0"/>
          <w:sz w:val="24"/>
        </w:rPr>
        <w:t>在此，我方宣布同意如下：</w:t>
      </w:r>
    </w:p>
    <w:p>
      <w:pPr>
        <w:autoSpaceDE w:val="0"/>
        <w:autoSpaceDN w:val="0"/>
        <w:adjustRightInd w:val="0"/>
        <w:spacing w:line="288" w:lineRule="auto"/>
        <w:ind w:left="479" w:leftChars="228" w:right="246" w:firstLine="0" w:firstLineChars="0"/>
        <w:rPr>
          <w:rFonts w:ascii="宋体" w:hAnsi="宋体"/>
          <w:kern w:val="0"/>
          <w:sz w:val="24"/>
        </w:rPr>
      </w:pPr>
      <w:r>
        <w:rPr>
          <w:rFonts w:hint="eastAsia" w:ascii="宋体" w:hAnsi="宋体"/>
          <w:kern w:val="0"/>
          <w:sz w:val="24"/>
        </w:rPr>
        <w:t>1．所附《开标一览表》中规定的应提交和交付的   货物投标</w:t>
      </w:r>
      <w:r>
        <w:rPr>
          <w:rFonts w:hint="eastAsia" w:ascii="宋体" w:hAnsi="宋体"/>
          <w:kern w:val="0"/>
          <w:sz w:val="24"/>
          <w:lang w:eastAsia="zh-CN"/>
        </w:rPr>
        <w:t>单价为</w:t>
      </w:r>
      <w:r>
        <w:rPr>
          <w:rFonts w:hint="eastAsia" w:ascii="宋体" w:hAnsi="宋体"/>
          <w:kern w:val="0"/>
          <w:sz w:val="24"/>
          <w:lang w:val="en-US" w:eastAsia="zh-CN"/>
        </w:rPr>
        <w:t xml:space="preserve">  </w:t>
      </w:r>
      <w:r>
        <w:rPr>
          <w:rFonts w:hint="eastAsia" w:ascii="宋体" w:hAnsi="宋体"/>
          <w:kern w:val="0"/>
          <w:sz w:val="24"/>
          <w:lang w:eastAsia="zh-CN"/>
        </w:rPr>
        <w:t>元</w:t>
      </w:r>
      <w:r>
        <w:rPr>
          <w:rFonts w:hint="eastAsia" w:ascii="宋体" w:hAnsi="宋体"/>
          <w:kern w:val="0"/>
          <w:sz w:val="24"/>
          <w:lang w:val="en-US" w:eastAsia="zh-CN"/>
        </w:rPr>
        <w:t>/卷，</w:t>
      </w:r>
      <w:r>
        <w:rPr>
          <w:rFonts w:hint="eastAsia" w:ascii="宋体" w:hAnsi="宋体"/>
          <w:kern w:val="0"/>
          <w:sz w:val="24"/>
        </w:rPr>
        <w:t>总价为</w:t>
      </w:r>
      <w:r>
        <w:rPr>
          <w:rFonts w:hint="eastAsia" w:ascii="宋体" w:hAnsi="宋体"/>
          <w:sz w:val="24"/>
        </w:rPr>
        <w:t>（注明币种，并用文字和数字表示的投标总价）</w:t>
      </w:r>
      <w:r>
        <w:rPr>
          <w:rFonts w:hint="eastAsia" w:ascii="宋体" w:hAnsi="宋体"/>
          <w:kern w:val="0"/>
          <w:sz w:val="24"/>
        </w:rPr>
        <w:t>。</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2．将按招标文件的约定履行合同责任和义务。</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3．已详细审查全部招标文件，包括（修正或补充文件）（如果有的话），对此无异议。</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4．本投标有效期为自开标日起，共    个日历日。</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5．同意提供按照贵方可能要求的与其投标有关的一切数据或资料。</w:t>
      </w:r>
    </w:p>
    <w:p>
      <w:pPr>
        <w:autoSpaceDE w:val="0"/>
        <w:autoSpaceDN w:val="0"/>
        <w:adjustRightInd w:val="0"/>
        <w:spacing w:line="288" w:lineRule="auto"/>
        <w:ind w:right="246"/>
        <w:rPr>
          <w:rFonts w:ascii="宋体" w:hAnsi="宋体"/>
          <w:b/>
          <w:kern w:val="0"/>
          <w:sz w:val="24"/>
        </w:rPr>
      </w:pPr>
      <w:r>
        <w:rPr>
          <w:rFonts w:hint="eastAsia" w:ascii="宋体" w:hAnsi="宋体"/>
          <w:b/>
          <w:kern w:val="0"/>
          <w:sz w:val="24"/>
        </w:rPr>
        <w:t>且承诺：</w:t>
      </w:r>
    </w:p>
    <w:p>
      <w:pPr>
        <w:autoSpaceDE w:val="0"/>
        <w:autoSpaceDN w:val="0"/>
        <w:adjustRightInd w:val="0"/>
        <w:spacing w:line="288" w:lineRule="auto"/>
        <w:ind w:left="716" w:leftChars="171" w:right="246" w:hanging="357" w:hangingChars="149"/>
        <w:rPr>
          <w:rFonts w:ascii="宋体" w:hAnsi="宋体"/>
          <w:kern w:val="0"/>
          <w:sz w:val="24"/>
        </w:rPr>
      </w:pPr>
      <w:r>
        <w:rPr>
          <w:rFonts w:hint="eastAsia" w:ascii="宋体" w:hAnsi="宋体"/>
          <w:kern w:val="0"/>
          <w:sz w:val="24"/>
        </w:rPr>
        <w:t>1）与参加本项目政府采购活动的其他供应商之间不存在单位负责人为同一人或者存在直接控股、管理关系的情形；</w:t>
      </w:r>
    </w:p>
    <w:p>
      <w:pPr>
        <w:autoSpaceDE w:val="0"/>
        <w:autoSpaceDN w:val="0"/>
        <w:adjustRightInd w:val="0"/>
        <w:spacing w:line="288" w:lineRule="auto"/>
        <w:ind w:left="716" w:leftChars="171" w:right="246" w:hanging="357" w:hangingChars="149"/>
        <w:rPr>
          <w:rFonts w:ascii="宋体" w:hAnsi="宋体"/>
          <w:kern w:val="0"/>
          <w:sz w:val="24"/>
        </w:rPr>
      </w:pPr>
      <w:r>
        <w:rPr>
          <w:rFonts w:hint="eastAsia" w:ascii="宋体" w:hAnsi="宋体"/>
          <w:kern w:val="0"/>
          <w:sz w:val="24"/>
        </w:rPr>
        <w:t>2）未为本采购项目提供过整体设计、规范编制或者项目管理、监理、检测等服务；</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 xml:space="preserve">投标人：                               地  址：  </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 xml:space="preserve">传  真：                               电  话： </w:t>
      </w:r>
    </w:p>
    <w:p>
      <w:pPr>
        <w:autoSpaceDE w:val="0"/>
        <w:autoSpaceDN w:val="0"/>
        <w:adjustRightInd w:val="0"/>
        <w:spacing w:line="288" w:lineRule="auto"/>
        <w:ind w:right="246" w:firstLine="480" w:firstLineChars="200"/>
        <w:rPr>
          <w:rFonts w:ascii="宋体" w:hAnsi="宋体"/>
          <w:kern w:val="0"/>
          <w:sz w:val="24"/>
        </w:rPr>
      </w:pPr>
      <w:r>
        <w:rPr>
          <w:rFonts w:hint="eastAsia" w:ascii="宋体" w:hAnsi="宋体"/>
          <w:kern w:val="0"/>
          <w:sz w:val="24"/>
        </w:rPr>
        <w:t xml:space="preserve">电子函件：                               </w:t>
      </w:r>
    </w:p>
    <w:p>
      <w:pPr>
        <w:autoSpaceDE w:val="0"/>
        <w:autoSpaceDN w:val="0"/>
        <w:adjustRightInd w:val="0"/>
        <w:spacing w:line="288" w:lineRule="auto"/>
        <w:ind w:right="246" w:firstLine="480" w:firstLineChars="200"/>
        <w:rPr>
          <w:rFonts w:ascii="宋体" w:hAnsi="宋体"/>
          <w:sz w:val="24"/>
        </w:rPr>
      </w:pPr>
      <w:r>
        <w:rPr>
          <w:rFonts w:hint="eastAsia" w:ascii="宋体" w:hAnsi="宋体"/>
          <w:kern w:val="0"/>
          <w:sz w:val="24"/>
        </w:rPr>
        <w:t>投标人授权代表（签字）：</w:t>
      </w:r>
      <w:r>
        <w:rPr>
          <w:rFonts w:hint="eastAsia" w:ascii="宋体" w:hAnsi="宋体"/>
          <w:sz w:val="24"/>
        </w:rPr>
        <w:t xml:space="preserve">                 </w:t>
      </w:r>
    </w:p>
    <w:p>
      <w:pPr>
        <w:autoSpaceDE w:val="0"/>
        <w:autoSpaceDN w:val="0"/>
        <w:adjustRightInd w:val="0"/>
        <w:spacing w:line="288" w:lineRule="auto"/>
        <w:ind w:right="246" w:firstLine="480" w:firstLineChars="200"/>
        <w:rPr>
          <w:rFonts w:ascii="宋体" w:hAnsi="宋体"/>
          <w:sz w:val="24"/>
        </w:rPr>
      </w:pPr>
      <w:r>
        <w:rPr>
          <w:rFonts w:hint="eastAsia" w:ascii="宋体" w:hAnsi="宋体"/>
          <w:sz w:val="24"/>
        </w:rPr>
        <w:t xml:space="preserve">投标人名称(加盖公章)：                   </w:t>
      </w:r>
    </w:p>
    <w:p>
      <w:pPr>
        <w:autoSpaceDE w:val="0"/>
        <w:autoSpaceDN w:val="0"/>
        <w:adjustRightInd w:val="0"/>
        <w:spacing w:line="288" w:lineRule="auto"/>
        <w:ind w:right="246" w:firstLine="480" w:firstLineChars="200"/>
        <w:rPr>
          <w:rFonts w:ascii="宋体" w:hAnsi="宋体"/>
          <w:sz w:val="24"/>
        </w:rPr>
      </w:pPr>
      <w:r>
        <w:rPr>
          <w:rFonts w:hint="eastAsia" w:ascii="宋体" w:hAnsi="宋体"/>
          <w:sz w:val="24"/>
        </w:rPr>
        <w:t xml:space="preserve">日    期：                               </w:t>
      </w:r>
    </w:p>
    <w:p>
      <w:pPr>
        <w:autoSpaceDE w:val="0"/>
        <w:autoSpaceDN w:val="0"/>
        <w:adjustRightInd w:val="0"/>
        <w:spacing w:line="288" w:lineRule="auto"/>
        <w:ind w:right="246" w:firstLine="480" w:firstLineChars="200"/>
        <w:rPr>
          <w:rFonts w:ascii="宋体" w:hAnsi="宋体"/>
          <w:sz w:val="24"/>
        </w:rPr>
      </w:pPr>
      <w:r>
        <w:rPr>
          <w:rFonts w:hint="eastAsia" w:ascii="宋体" w:hAnsi="宋体"/>
          <w:sz w:val="24"/>
        </w:rPr>
        <w:t xml:space="preserve">开户银行：                               </w:t>
      </w:r>
    </w:p>
    <w:p>
      <w:pPr>
        <w:autoSpaceDE w:val="0"/>
        <w:autoSpaceDN w:val="0"/>
        <w:adjustRightInd w:val="0"/>
        <w:spacing w:line="288" w:lineRule="auto"/>
        <w:ind w:right="246" w:firstLine="480" w:firstLineChars="200"/>
        <w:rPr>
          <w:rFonts w:ascii="宋体" w:hAnsi="宋体"/>
          <w:sz w:val="24"/>
        </w:rPr>
      </w:pPr>
      <w:r>
        <w:rPr>
          <w:rFonts w:hint="eastAsia" w:ascii="宋体" w:hAnsi="宋体"/>
          <w:sz w:val="24"/>
        </w:rPr>
        <w:t xml:space="preserve">帐号/行号：                              </w:t>
      </w:r>
    </w:p>
    <w:p>
      <w:pPr>
        <w:pStyle w:val="14"/>
        <w:spacing w:line="360" w:lineRule="auto"/>
        <w:ind w:firstLine="7360" w:firstLineChars="2300"/>
        <w:rPr>
          <w:rFonts w:hAnsi="宋体"/>
          <w:sz w:val="32"/>
          <w:szCs w:val="32"/>
        </w:rPr>
      </w:pPr>
      <w:r>
        <w:rPr>
          <w:rFonts w:hint="eastAsia" w:hAnsi="宋体" w:eastAsia="宋体"/>
          <w:sz w:val="32"/>
          <w:szCs w:val="32"/>
          <w:lang w:val="zh-CN"/>
        </w:rPr>
        <w:br w:type="page"/>
      </w:r>
    </w:p>
    <w:p>
      <w:pPr>
        <w:spacing w:line="360" w:lineRule="auto"/>
        <w:rPr>
          <w:rFonts w:ascii="宋体" w:hAnsi="宋体" w:eastAsia="宋体" w:cs="宋体"/>
          <w:b/>
          <w:bCs/>
          <w:sz w:val="36"/>
          <w:szCs w:val="36"/>
        </w:rPr>
      </w:pPr>
      <w:bookmarkStart w:id="6" w:name="_Toc465347023"/>
      <w:bookmarkStart w:id="7" w:name="_Toc236473301"/>
      <w:bookmarkStart w:id="8" w:name="_Toc238276245"/>
      <w:r>
        <w:rPr>
          <w:rFonts w:hint="eastAsia" w:ascii="宋体" w:hAnsi="宋体" w:eastAsia="宋体" w:cs="宋体"/>
          <w:b/>
          <w:bCs/>
          <w:sz w:val="36"/>
          <w:szCs w:val="36"/>
        </w:rPr>
        <w:t>附件二：</w:t>
      </w:r>
      <w:bookmarkEnd w:id="6"/>
      <w:bookmarkEnd w:id="7"/>
      <w:bookmarkEnd w:id="8"/>
      <w:r>
        <w:rPr>
          <w:rFonts w:hint="eastAsia" w:ascii="宋体" w:hAnsi="宋体" w:eastAsia="宋体" w:cs="宋体"/>
          <w:b/>
          <w:bCs/>
          <w:sz w:val="36"/>
          <w:szCs w:val="36"/>
        </w:rPr>
        <w:t>报价一览表</w:t>
      </w:r>
    </w:p>
    <w:p>
      <w:pPr>
        <w:spacing w:line="360" w:lineRule="auto"/>
        <w:jc w:val="left"/>
        <w:rPr>
          <w:rFonts w:ascii="宋体" w:hAnsi="宋体"/>
          <w:b/>
          <w:sz w:val="24"/>
          <w:szCs w:val="21"/>
          <w:u w:val="single"/>
        </w:rPr>
      </w:pPr>
      <w:r>
        <w:rPr>
          <w:rFonts w:hint="eastAsia" w:ascii="宋体" w:hAnsi="宋体"/>
          <w:b/>
          <w:sz w:val="24"/>
          <w:szCs w:val="21"/>
        </w:rPr>
        <w:t>投 标 人：</w:t>
      </w:r>
      <w:r>
        <w:rPr>
          <w:rFonts w:hint="eastAsia" w:ascii="宋体" w:hAnsi="宋体"/>
          <w:b/>
          <w:sz w:val="24"/>
          <w:szCs w:val="21"/>
          <w:u w:val="single"/>
        </w:rPr>
        <w:t xml:space="preserve">                     </w:t>
      </w:r>
    </w:p>
    <w:p>
      <w:pPr>
        <w:spacing w:line="360" w:lineRule="auto"/>
        <w:jc w:val="left"/>
        <w:rPr>
          <w:rFonts w:ascii="宋体" w:hAnsi="宋体"/>
          <w:b/>
          <w:sz w:val="24"/>
          <w:szCs w:val="21"/>
        </w:rPr>
      </w:pPr>
      <w:r>
        <w:rPr>
          <w:rFonts w:hint="eastAsia" w:ascii="宋体" w:hAnsi="宋体"/>
          <w:b/>
          <w:sz w:val="24"/>
          <w:szCs w:val="21"/>
        </w:rPr>
        <w:t>项目名称：</w:t>
      </w:r>
      <w:r>
        <w:rPr>
          <w:rFonts w:hint="eastAsia" w:ascii="宋体" w:hAnsi="宋体"/>
          <w:b/>
          <w:sz w:val="24"/>
          <w:szCs w:val="21"/>
          <w:u w:val="single"/>
        </w:rPr>
        <w:t xml:space="preserve">                     </w:t>
      </w:r>
    </w:p>
    <w:p>
      <w:pPr>
        <w:spacing w:line="360" w:lineRule="auto"/>
        <w:jc w:val="left"/>
        <w:rPr>
          <w:rFonts w:ascii="宋体" w:hAnsi="宋体"/>
          <w:b/>
          <w:bCs/>
          <w:sz w:val="24"/>
          <w:szCs w:val="21"/>
          <w:u w:val="single"/>
        </w:rPr>
      </w:pPr>
      <w:r>
        <w:rPr>
          <w:rFonts w:hint="eastAsia" w:ascii="宋体" w:hAnsi="宋体"/>
          <w:b/>
          <w:sz w:val="24"/>
          <w:szCs w:val="21"/>
        </w:rPr>
        <w:t>项目编号：</w:t>
      </w:r>
      <w:r>
        <w:rPr>
          <w:rFonts w:hint="eastAsia" w:ascii="宋体" w:hAnsi="宋体"/>
          <w:b/>
          <w:sz w:val="24"/>
          <w:szCs w:val="21"/>
          <w:u w:val="single"/>
        </w:rPr>
        <w:t xml:space="preserve">                     </w:t>
      </w:r>
      <w:r>
        <w:rPr>
          <w:rFonts w:hint="eastAsia" w:ascii="宋体" w:hAnsi="宋体"/>
          <w:b/>
          <w:sz w:val="24"/>
          <w:szCs w:val="21"/>
        </w:rPr>
        <w:t xml:space="preserve">     </w:t>
      </w:r>
      <w:r>
        <w:rPr>
          <w:rFonts w:hint="eastAsia" w:ascii="宋体" w:hAnsi="宋体"/>
          <w:b/>
          <w:bCs/>
          <w:sz w:val="24"/>
          <w:szCs w:val="21"/>
        </w:rPr>
        <w:t xml:space="preserve">              </w:t>
      </w:r>
    </w:p>
    <w:tbl>
      <w:tblPr>
        <w:tblStyle w:val="23"/>
        <w:tblW w:w="9549"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1"/>
        <w:gridCol w:w="1058"/>
        <w:gridCol w:w="1541"/>
        <w:gridCol w:w="1129"/>
        <w:gridCol w:w="1023"/>
        <w:gridCol w:w="1484"/>
        <w:gridCol w:w="2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1" w:type="dxa"/>
            <w:tcBorders>
              <w:tl2br w:val="nil"/>
              <w:tr2bl w:val="nil"/>
            </w:tcBorders>
            <w:shd w:val="clear" w:color="auto" w:fill="auto"/>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序号</w:t>
            </w:r>
          </w:p>
        </w:tc>
        <w:tc>
          <w:tcPr>
            <w:tcW w:w="2599" w:type="dxa"/>
            <w:gridSpan w:val="2"/>
            <w:tcBorders>
              <w:tl2br w:val="nil"/>
              <w:tr2bl w:val="nil"/>
            </w:tcBorders>
            <w:shd w:val="clear" w:color="auto" w:fill="auto"/>
            <w:vAlign w:val="center"/>
          </w:tcPr>
          <w:p>
            <w:pPr>
              <w:spacing w:line="360" w:lineRule="auto"/>
              <w:ind w:left="-48" w:leftChars="-23" w:right="-65" w:rightChars="-31"/>
              <w:jc w:val="center"/>
              <w:rPr>
                <w:rFonts w:ascii="宋体" w:hAnsi="宋体" w:cs="宋体"/>
                <w:kern w:val="0"/>
                <w:sz w:val="24"/>
              </w:rPr>
            </w:pPr>
            <w:r>
              <w:rPr>
                <w:rFonts w:hint="eastAsia" w:ascii="宋体" w:hAnsi="宋体" w:cs="宋体"/>
                <w:kern w:val="0"/>
                <w:sz w:val="24"/>
              </w:rPr>
              <w:t>名称</w:t>
            </w:r>
          </w:p>
        </w:tc>
        <w:tc>
          <w:tcPr>
            <w:tcW w:w="1129" w:type="dxa"/>
            <w:tcBorders>
              <w:tl2br w:val="nil"/>
              <w:tr2bl w:val="nil"/>
            </w:tcBorders>
            <w:shd w:val="clear" w:color="auto" w:fill="auto"/>
            <w:vAlign w:val="center"/>
          </w:tcPr>
          <w:p>
            <w:pPr>
              <w:ind w:left="-48" w:leftChars="-23" w:right="-65" w:rightChars="-31"/>
              <w:jc w:val="center"/>
              <w:rPr>
                <w:rFonts w:ascii="宋体" w:hAnsi="宋体" w:eastAsia="宋体" w:cs="宋体"/>
                <w:kern w:val="0"/>
                <w:sz w:val="24"/>
              </w:rPr>
            </w:pPr>
            <w:r>
              <w:rPr>
                <w:rFonts w:hint="eastAsia" w:ascii="宋体" w:hAnsi="宋体"/>
                <w:sz w:val="24"/>
              </w:rPr>
              <w:t>单位</w:t>
            </w:r>
          </w:p>
        </w:tc>
        <w:tc>
          <w:tcPr>
            <w:tcW w:w="1023" w:type="dxa"/>
            <w:tcBorders>
              <w:tl2br w:val="nil"/>
              <w:tr2bl w:val="nil"/>
            </w:tcBorders>
            <w:shd w:val="clear" w:color="auto" w:fill="auto"/>
            <w:vAlign w:val="center"/>
          </w:tcPr>
          <w:p>
            <w:pPr>
              <w:spacing w:line="360" w:lineRule="auto"/>
              <w:ind w:left="-48" w:leftChars="-23" w:right="-65" w:rightChars="-31"/>
              <w:jc w:val="center"/>
              <w:rPr>
                <w:rFonts w:ascii="宋体" w:hAnsi="宋体" w:cs="宋体"/>
                <w:kern w:val="0"/>
                <w:sz w:val="24"/>
              </w:rPr>
            </w:pPr>
            <w:r>
              <w:rPr>
                <w:rFonts w:hint="eastAsia" w:ascii="宋体" w:hAnsi="宋体" w:cs="宋体"/>
                <w:kern w:val="0"/>
                <w:sz w:val="24"/>
              </w:rPr>
              <w:t>数量</w:t>
            </w:r>
          </w:p>
        </w:tc>
        <w:tc>
          <w:tcPr>
            <w:tcW w:w="1484" w:type="dxa"/>
            <w:tcBorders>
              <w:tl2br w:val="nil"/>
              <w:tr2bl w:val="nil"/>
            </w:tcBorders>
            <w:shd w:val="clear" w:color="auto" w:fill="auto"/>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单价</w:t>
            </w:r>
          </w:p>
        </w:tc>
        <w:tc>
          <w:tcPr>
            <w:tcW w:w="2663" w:type="dxa"/>
            <w:tcBorders>
              <w:tl2br w:val="nil"/>
              <w:tr2bl w:val="nil"/>
            </w:tcBorders>
            <w:shd w:val="clear" w:color="auto" w:fill="auto"/>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分项合计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651" w:type="dxa"/>
            <w:tcBorders>
              <w:tl2br w:val="nil"/>
              <w:tr2bl w:val="nil"/>
            </w:tcBorders>
            <w:vAlign w:val="center"/>
          </w:tcPr>
          <w:p>
            <w:pPr>
              <w:numPr>
                <w:ilvl w:val="0"/>
                <w:numId w:val="17"/>
              </w:numPr>
              <w:tabs>
                <w:tab w:val="left" w:pos="82"/>
              </w:tabs>
              <w:adjustRightInd w:val="0"/>
              <w:snapToGrid w:val="0"/>
              <w:jc w:val="center"/>
              <w:rPr>
                <w:rFonts w:ascii="宋体" w:hAnsi="宋体"/>
                <w:sz w:val="24"/>
              </w:rPr>
            </w:pPr>
          </w:p>
        </w:tc>
        <w:tc>
          <w:tcPr>
            <w:tcW w:w="2599" w:type="dxa"/>
            <w:gridSpan w:val="2"/>
            <w:tcBorders>
              <w:tl2br w:val="nil"/>
              <w:tr2bl w:val="nil"/>
            </w:tcBorders>
            <w:vAlign w:val="center"/>
          </w:tcPr>
          <w:p>
            <w:pPr>
              <w:jc w:val="center"/>
              <w:rPr>
                <w:rFonts w:hint="eastAsia" w:eastAsiaTheme="minorEastAsia"/>
                <w:sz w:val="24"/>
                <w:lang w:eastAsia="zh-CN"/>
              </w:rPr>
            </w:pPr>
            <w:r>
              <w:rPr>
                <w:rFonts w:hint="eastAsia" w:eastAsiaTheme="minorEastAsia"/>
                <w:sz w:val="24"/>
                <w:lang w:eastAsia="zh-CN"/>
              </w:rPr>
              <w:t>区、镇、村三级电商公共服务体系建设</w:t>
            </w:r>
          </w:p>
        </w:tc>
        <w:tc>
          <w:tcPr>
            <w:tcW w:w="1129" w:type="dxa"/>
            <w:tcBorders>
              <w:tl2br w:val="nil"/>
              <w:tr2bl w:val="nil"/>
            </w:tcBorders>
            <w:vAlign w:val="center"/>
          </w:tcPr>
          <w:p>
            <w:pPr>
              <w:jc w:val="center"/>
              <w:rPr>
                <w:rFonts w:hint="eastAsia" w:eastAsiaTheme="minorEastAsia"/>
                <w:sz w:val="24"/>
                <w:lang w:eastAsia="zh-CN"/>
              </w:rPr>
            </w:pPr>
            <w:r>
              <w:rPr>
                <w:rFonts w:hint="eastAsia"/>
                <w:sz w:val="24"/>
                <w:lang w:eastAsia="zh-CN"/>
              </w:rPr>
              <w:t>项</w:t>
            </w:r>
          </w:p>
        </w:tc>
        <w:tc>
          <w:tcPr>
            <w:tcW w:w="1023" w:type="dxa"/>
            <w:tcBorders>
              <w:tl2br w:val="nil"/>
              <w:tr2bl w:val="nil"/>
            </w:tcBorders>
            <w:vAlign w:val="center"/>
          </w:tcPr>
          <w:p>
            <w:pPr>
              <w:jc w:val="center"/>
              <w:rPr>
                <w:rFonts w:hint="default" w:eastAsiaTheme="minorEastAsia"/>
                <w:sz w:val="24"/>
                <w:lang w:val="en-US" w:eastAsia="zh-CN"/>
              </w:rPr>
            </w:pPr>
            <w:r>
              <w:rPr>
                <w:rFonts w:hint="eastAsia"/>
                <w:sz w:val="24"/>
                <w:lang w:val="en-US" w:eastAsia="zh-CN"/>
              </w:rPr>
              <w:t>1</w:t>
            </w:r>
          </w:p>
        </w:tc>
        <w:tc>
          <w:tcPr>
            <w:tcW w:w="1484" w:type="dxa"/>
            <w:tcBorders>
              <w:tl2br w:val="nil"/>
              <w:tr2bl w:val="nil"/>
            </w:tcBorders>
            <w:vAlign w:val="center"/>
          </w:tcPr>
          <w:p>
            <w:pPr>
              <w:spacing w:line="240" w:lineRule="atLeast"/>
              <w:ind w:left="-48" w:leftChars="-23" w:right="-65" w:rightChars="-31"/>
              <w:jc w:val="left"/>
              <w:rPr>
                <w:rFonts w:ascii="宋体" w:hAnsi="宋体" w:cs="宋体"/>
                <w:kern w:val="0"/>
                <w:sz w:val="24"/>
              </w:rPr>
            </w:pPr>
          </w:p>
        </w:tc>
        <w:tc>
          <w:tcPr>
            <w:tcW w:w="2663" w:type="dxa"/>
            <w:tcBorders>
              <w:tl2br w:val="nil"/>
              <w:tr2bl w:val="nil"/>
            </w:tcBorders>
            <w:vAlign w:val="center"/>
          </w:tcPr>
          <w:p>
            <w:pPr>
              <w:spacing w:line="240" w:lineRule="atLeast"/>
              <w:ind w:left="-48" w:leftChars="-23" w:right="-65" w:rightChars="-31"/>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651" w:type="dxa"/>
            <w:tcBorders>
              <w:tl2br w:val="nil"/>
              <w:tr2bl w:val="nil"/>
            </w:tcBorders>
            <w:vAlign w:val="center"/>
          </w:tcPr>
          <w:p>
            <w:pPr>
              <w:numPr>
                <w:ilvl w:val="0"/>
                <w:numId w:val="17"/>
              </w:numPr>
              <w:tabs>
                <w:tab w:val="left" w:pos="82"/>
              </w:tabs>
              <w:adjustRightInd w:val="0"/>
              <w:snapToGrid w:val="0"/>
              <w:jc w:val="center"/>
              <w:rPr>
                <w:rFonts w:ascii="宋体" w:hAnsi="宋体"/>
                <w:sz w:val="24"/>
              </w:rPr>
            </w:pPr>
          </w:p>
        </w:tc>
        <w:tc>
          <w:tcPr>
            <w:tcW w:w="2599" w:type="dxa"/>
            <w:gridSpan w:val="2"/>
            <w:tcBorders>
              <w:tl2br w:val="nil"/>
              <w:tr2bl w:val="nil"/>
            </w:tcBorders>
            <w:vAlign w:val="center"/>
          </w:tcPr>
          <w:p>
            <w:pPr>
              <w:jc w:val="center"/>
              <w:rPr>
                <w:rFonts w:hint="eastAsia" w:eastAsiaTheme="minorEastAsia"/>
                <w:sz w:val="24"/>
                <w:lang w:eastAsia="zh-CN"/>
              </w:rPr>
            </w:pPr>
            <w:r>
              <w:rPr>
                <w:rFonts w:hint="eastAsia" w:eastAsiaTheme="minorEastAsia"/>
                <w:sz w:val="24"/>
                <w:lang w:eastAsia="zh-CN"/>
              </w:rPr>
              <w:t>电商培训资金</w:t>
            </w:r>
          </w:p>
        </w:tc>
        <w:tc>
          <w:tcPr>
            <w:tcW w:w="1129" w:type="dxa"/>
            <w:tcBorders>
              <w:tl2br w:val="nil"/>
              <w:tr2bl w:val="nil"/>
            </w:tcBorders>
            <w:vAlign w:val="center"/>
          </w:tcPr>
          <w:p>
            <w:pPr>
              <w:jc w:val="center"/>
              <w:rPr>
                <w:rFonts w:hint="eastAsia" w:eastAsiaTheme="minorEastAsia"/>
                <w:sz w:val="24"/>
                <w:lang w:eastAsia="zh-CN"/>
              </w:rPr>
            </w:pPr>
            <w:r>
              <w:rPr>
                <w:rFonts w:hint="eastAsia"/>
                <w:sz w:val="24"/>
                <w:lang w:eastAsia="zh-CN"/>
              </w:rPr>
              <w:t>项</w:t>
            </w:r>
          </w:p>
        </w:tc>
        <w:tc>
          <w:tcPr>
            <w:tcW w:w="1023" w:type="dxa"/>
            <w:tcBorders>
              <w:tl2br w:val="nil"/>
              <w:tr2bl w:val="nil"/>
            </w:tcBorders>
            <w:vAlign w:val="center"/>
          </w:tcPr>
          <w:p>
            <w:pPr>
              <w:jc w:val="center"/>
              <w:rPr>
                <w:rFonts w:hint="default" w:eastAsiaTheme="minorEastAsia"/>
                <w:sz w:val="24"/>
                <w:lang w:val="en-US" w:eastAsia="zh-CN"/>
              </w:rPr>
            </w:pPr>
            <w:r>
              <w:rPr>
                <w:rFonts w:hint="eastAsia"/>
                <w:sz w:val="24"/>
                <w:lang w:val="en-US" w:eastAsia="zh-CN"/>
              </w:rPr>
              <w:t>1</w:t>
            </w:r>
          </w:p>
        </w:tc>
        <w:tc>
          <w:tcPr>
            <w:tcW w:w="1484" w:type="dxa"/>
            <w:tcBorders>
              <w:tl2br w:val="nil"/>
              <w:tr2bl w:val="nil"/>
            </w:tcBorders>
            <w:vAlign w:val="center"/>
          </w:tcPr>
          <w:p>
            <w:pPr>
              <w:spacing w:line="240" w:lineRule="atLeast"/>
              <w:ind w:left="-48" w:leftChars="-23" w:right="-65" w:rightChars="-31"/>
              <w:jc w:val="left"/>
              <w:rPr>
                <w:rFonts w:ascii="宋体" w:hAnsi="宋体" w:cs="宋体"/>
                <w:kern w:val="0"/>
                <w:sz w:val="24"/>
              </w:rPr>
            </w:pPr>
          </w:p>
        </w:tc>
        <w:tc>
          <w:tcPr>
            <w:tcW w:w="2663" w:type="dxa"/>
            <w:tcBorders>
              <w:tl2br w:val="nil"/>
              <w:tr2bl w:val="nil"/>
            </w:tcBorders>
            <w:vAlign w:val="center"/>
          </w:tcPr>
          <w:p>
            <w:pPr>
              <w:spacing w:line="240" w:lineRule="atLeast"/>
              <w:ind w:left="-48" w:leftChars="-23" w:right="-65" w:rightChars="-31"/>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651" w:type="dxa"/>
            <w:tcBorders>
              <w:tl2br w:val="nil"/>
              <w:tr2bl w:val="nil"/>
            </w:tcBorders>
            <w:vAlign w:val="center"/>
          </w:tcPr>
          <w:p>
            <w:pPr>
              <w:numPr>
                <w:ilvl w:val="0"/>
                <w:numId w:val="17"/>
              </w:numPr>
              <w:tabs>
                <w:tab w:val="left" w:pos="82"/>
              </w:tabs>
              <w:adjustRightInd w:val="0"/>
              <w:snapToGrid w:val="0"/>
              <w:jc w:val="center"/>
              <w:rPr>
                <w:rFonts w:ascii="宋体" w:hAnsi="宋体"/>
                <w:sz w:val="24"/>
              </w:rPr>
            </w:pPr>
          </w:p>
        </w:tc>
        <w:tc>
          <w:tcPr>
            <w:tcW w:w="2599" w:type="dxa"/>
            <w:gridSpan w:val="2"/>
            <w:tcBorders>
              <w:tl2br w:val="nil"/>
              <w:tr2bl w:val="nil"/>
            </w:tcBorders>
            <w:vAlign w:val="center"/>
          </w:tcPr>
          <w:p>
            <w:pPr>
              <w:jc w:val="center"/>
              <w:rPr>
                <w:rFonts w:hint="eastAsia" w:eastAsiaTheme="minorEastAsia"/>
                <w:sz w:val="24"/>
                <w:lang w:eastAsia="zh-CN"/>
              </w:rPr>
            </w:pPr>
            <w:r>
              <w:rPr>
                <w:rFonts w:hint="eastAsia" w:eastAsiaTheme="minorEastAsia"/>
                <w:sz w:val="24"/>
                <w:lang w:eastAsia="zh-CN"/>
              </w:rPr>
              <w:t>区、镇、村三级物流配套体系建设</w:t>
            </w:r>
          </w:p>
        </w:tc>
        <w:tc>
          <w:tcPr>
            <w:tcW w:w="1129" w:type="dxa"/>
            <w:tcBorders>
              <w:tl2br w:val="nil"/>
              <w:tr2bl w:val="nil"/>
            </w:tcBorders>
            <w:vAlign w:val="center"/>
          </w:tcPr>
          <w:p>
            <w:pPr>
              <w:jc w:val="center"/>
              <w:rPr>
                <w:rFonts w:hint="eastAsia" w:eastAsiaTheme="minorEastAsia"/>
                <w:sz w:val="24"/>
                <w:lang w:eastAsia="zh-CN"/>
              </w:rPr>
            </w:pPr>
            <w:r>
              <w:rPr>
                <w:rFonts w:hint="eastAsia"/>
                <w:sz w:val="24"/>
                <w:lang w:eastAsia="zh-CN"/>
              </w:rPr>
              <w:t>项</w:t>
            </w:r>
          </w:p>
        </w:tc>
        <w:tc>
          <w:tcPr>
            <w:tcW w:w="1023" w:type="dxa"/>
            <w:tcBorders>
              <w:tl2br w:val="nil"/>
              <w:tr2bl w:val="nil"/>
            </w:tcBorders>
            <w:vAlign w:val="center"/>
          </w:tcPr>
          <w:p>
            <w:pPr>
              <w:jc w:val="center"/>
              <w:rPr>
                <w:rFonts w:hint="default" w:eastAsiaTheme="minorEastAsia"/>
                <w:sz w:val="24"/>
                <w:lang w:val="en-US" w:eastAsia="zh-CN"/>
              </w:rPr>
            </w:pPr>
            <w:r>
              <w:rPr>
                <w:rFonts w:hint="eastAsia"/>
                <w:sz w:val="24"/>
                <w:lang w:val="en-US" w:eastAsia="zh-CN"/>
              </w:rPr>
              <w:t>1</w:t>
            </w:r>
          </w:p>
        </w:tc>
        <w:tc>
          <w:tcPr>
            <w:tcW w:w="1484" w:type="dxa"/>
            <w:tcBorders>
              <w:tl2br w:val="nil"/>
              <w:tr2bl w:val="nil"/>
            </w:tcBorders>
            <w:vAlign w:val="center"/>
          </w:tcPr>
          <w:p>
            <w:pPr>
              <w:spacing w:line="240" w:lineRule="atLeast"/>
              <w:ind w:left="-48" w:leftChars="-23" w:right="-65" w:rightChars="-31"/>
              <w:jc w:val="left"/>
              <w:rPr>
                <w:rFonts w:ascii="宋体" w:hAnsi="宋体" w:cs="宋体"/>
                <w:kern w:val="0"/>
                <w:sz w:val="24"/>
              </w:rPr>
            </w:pPr>
          </w:p>
        </w:tc>
        <w:tc>
          <w:tcPr>
            <w:tcW w:w="2663" w:type="dxa"/>
            <w:tcBorders>
              <w:tl2br w:val="nil"/>
              <w:tr2bl w:val="nil"/>
            </w:tcBorders>
            <w:vAlign w:val="center"/>
          </w:tcPr>
          <w:p>
            <w:pPr>
              <w:spacing w:line="240" w:lineRule="atLeast"/>
              <w:ind w:left="-48" w:leftChars="-23" w:right="-65" w:rightChars="-31"/>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651" w:type="dxa"/>
            <w:tcBorders>
              <w:tl2br w:val="nil"/>
              <w:tr2bl w:val="nil"/>
            </w:tcBorders>
            <w:vAlign w:val="center"/>
          </w:tcPr>
          <w:p>
            <w:pPr>
              <w:numPr>
                <w:ilvl w:val="0"/>
                <w:numId w:val="17"/>
              </w:numPr>
              <w:tabs>
                <w:tab w:val="left" w:pos="82"/>
              </w:tabs>
              <w:adjustRightInd w:val="0"/>
              <w:snapToGrid w:val="0"/>
              <w:jc w:val="center"/>
              <w:rPr>
                <w:rFonts w:ascii="宋体" w:hAnsi="宋体"/>
                <w:sz w:val="24"/>
              </w:rPr>
            </w:pPr>
          </w:p>
        </w:tc>
        <w:tc>
          <w:tcPr>
            <w:tcW w:w="2599" w:type="dxa"/>
            <w:gridSpan w:val="2"/>
            <w:tcBorders>
              <w:tl2br w:val="nil"/>
              <w:tr2bl w:val="nil"/>
            </w:tcBorders>
            <w:vAlign w:val="center"/>
          </w:tcPr>
          <w:p>
            <w:pPr>
              <w:jc w:val="center"/>
              <w:rPr>
                <w:rFonts w:hint="eastAsia" w:eastAsiaTheme="minorEastAsia"/>
                <w:sz w:val="24"/>
                <w:lang w:eastAsia="zh-CN"/>
              </w:rPr>
            </w:pPr>
            <w:r>
              <w:rPr>
                <w:rFonts w:hint="eastAsia" w:eastAsiaTheme="minorEastAsia"/>
                <w:sz w:val="24"/>
                <w:lang w:eastAsia="zh-CN"/>
              </w:rPr>
              <w:t>农产品上行体系建设</w:t>
            </w:r>
          </w:p>
        </w:tc>
        <w:tc>
          <w:tcPr>
            <w:tcW w:w="1129" w:type="dxa"/>
            <w:tcBorders>
              <w:tl2br w:val="nil"/>
              <w:tr2bl w:val="nil"/>
            </w:tcBorders>
            <w:vAlign w:val="center"/>
          </w:tcPr>
          <w:p>
            <w:pPr>
              <w:jc w:val="center"/>
              <w:rPr>
                <w:rFonts w:hint="eastAsia" w:eastAsiaTheme="minorEastAsia"/>
                <w:sz w:val="24"/>
                <w:lang w:eastAsia="zh-CN"/>
              </w:rPr>
            </w:pPr>
            <w:r>
              <w:rPr>
                <w:rFonts w:hint="eastAsia"/>
                <w:sz w:val="24"/>
                <w:lang w:eastAsia="zh-CN"/>
              </w:rPr>
              <w:t>项</w:t>
            </w:r>
          </w:p>
        </w:tc>
        <w:tc>
          <w:tcPr>
            <w:tcW w:w="1023" w:type="dxa"/>
            <w:tcBorders>
              <w:tl2br w:val="nil"/>
              <w:tr2bl w:val="nil"/>
            </w:tcBorders>
            <w:vAlign w:val="center"/>
          </w:tcPr>
          <w:p>
            <w:pPr>
              <w:jc w:val="center"/>
              <w:rPr>
                <w:rFonts w:hint="default" w:eastAsiaTheme="minorEastAsia"/>
                <w:sz w:val="24"/>
                <w:lang w:val="en-US" w:eastAsia="zh-CN"/>
              </w:rPr>
            </w:pPr>
            <w:r>
              <w:rPr>
                <w:rFonts w:hint="eastAsia"/>
                <w:sz w:val="24"/>
                <w:lang w:val="en-US" w:eastAsia="zh-CN"/>
              </w:rPr>
              <w:t>1</w:t>
            </w:r>
          </w:p>
        </w:tc>
        <w:tc>
          <w:tcPr>
            <w:tcW w:w="1484" w:type="dxa"/>
            <w:tcBorders>
              <w:tl2br w:val="nil"/>
              <w:tr2bl w:val="nil"/>
            </w:tcBorders>
            <w:vAlign w:val="center"/>
          </w:tcPr>
          <w:p>
            <w:pPr>
              <w:spacing w:line="240" w:lineRule="atLeast"/>
              <w:ind w:left="-48" w:leftChars="-23" w:right="-65" w:rightChars="-31"/>
              <w:jc w:val="left"/>
              <w:rPr>
                <w:rFonts w:ascii="宋体" w:hAnsi="宋体" w:cs="宋体"/>
                <w:kern w:val="0"/>
                <w:sz w:val="24"/>
              </w:rPr>
            </w:pPr>
          </w:p>
        </w:tc>
        <w:tc>
          <w:tcPr>
            <w:tcW w:w="2663" w:type="dxa"/>
            <w:tcBorders>
              <w:tl2br w:val="nil"/>
              <w:tr2bl w:val="nil"/>
            </w:tcBorders>
            <w:vAlign w:val="center"/>
          </w:tcPr>
          <w:p>
            <w:pPr>
              <w:spacing w:line="240" w:lineRule="atLeast"/>
              <w:ind w:left="-48" w:leftChars="-23" w:right="-65" w:rightChars="-31"/>
              <w:jc w:val="center"/>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atLeast"/>
        </w:trPr>
        <w:tc>
          <w:tcPr>
            <w:tcW w:w="1709" w:type="dxa"/>
            <w:gridSpan w:val="2"/>
            <w:vAlign w:val="center"/>
          </w:tcPr>
          <w:p>
            <w:pPr>
              <w:spacing w:line="240" w:lineRule="atLeast"/>
              <w:ind w:left="-48" w:leftChars="-23" w:right="-65" w:rightChars="-31"/>
              <w:jc w:val="center"/>
              <w:rPr>
                <w:rFonts w:ascii="宋体" w:hAnsi="宋体" w:cs="宋体"/>
                <w:kern w:val="0"/>
                <w:sz w:val="24"/>
              </w:rPr>
            </w:pPr>
            <w:r>
              <w:rPr>
                <w:rFonts w:hint="eastAsia" w:ascii="宋体" w:hAnsi="宋体" w:cs="宋体"/>
                <w:kern w:val="0"/>
                <w:sz w:val="24"/>
              </w:rPr>
              <w:t>投标总报价</w:t>
            </w:r>
          </w:p>
        </w:tc>
        <w:tc>
          <w:tcPr>
            <w:tcW w:w="7840" w:type="dxa"/>
            <w:gridSpan w:val="5"/>
            <w:vAlign w:val="center"/>
          </w:tcPr>
          <w:p>
            <w:pPr>
              <w:spacing w:after="120" w:line="400" w:lineRule="atLeast"/>
              <w:ind w:left="206" w:leftChars="98" w:right="-65" w:rightChars="-31"/>
              <w:jc w:val="left"/>
              <w:rPr>
                <w:rFonts w:hint="eastAsia" w:ascii="宋体" w:hAnsi="宋体" w:cs="宋体" w:eastAsiaTheme="minorEastAsia"/>
                <w:kern w:val="0"/>
                <w:sz w:val="24"/>
                <w:lang w:eastAsia="zh-CN"/>
              </w:rPr>
            </w:pPr>
            <w:r>
              <w:rPr>
                <w:rFonts w:hint="eastAsia" w:ascii="宋体" w:hAnsi="宋体" w:cs="宋体"/>
                <w:kern w:val="0"/>
                <w:sz w:val="24"/>
              </w:rPr>
              <w:t>小写：</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lang w:val="en-US" w:eastAsia="zh-CN"/>
              </w:rPr>
              <w:t xml:space="preserve"> </w:t>
            </w:r>
          </w:p>
          <w:p>
            <w:pPr>
              <w:spacing w:after="120" w:line="400" w:lineRule="atLeast"/>
              <w:ind w:left="206" w:leftChars="98" w:right="-65" w:rightChars="-31"/>
              <w:jc w:val="left"/>
              <w:rPr>
                <w:rFonts w:hint="eastAsia" w:ascii="宋体" w:hAnsi="宋体" w:cs="宋体" w:eastAsiaTheme="minorEastAsia"/>
                <w:kern w:val="0"/>
                <w:sz w:val="24"/>
                <w:lang w:eastAsia="zh-CN"/>
              </w:rPr>
            </w:pPr>
            <w:r>
              <w:rPr>
                <w:rFonts w:hint="eastAsia" w:ascii="宋体" w:hAnsi="宋体" w:cs="宋体"/>
                <w:kern w:val="0"/>
                <w:sz w:val="24"/>
              </w:rPr>
              <w:t>大写：</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 w:hRule="atLeast"/>
        </w:trPr>
        <w:tc>
          <w:tcPr>
            <w:tcW w:w="1709" w:type="dxa"/>
            <w:gridSpan w:val="2"/>
            <w:vAlign w:val="center"/>
          </w:tcPr>
          <w:p>
            <w:pPr>
              <w:spacing w:line="240" w:lineRule="atLeast"/>
              <w:ind w:left="-48" w:leftChars="-23" w:right="-65" w:rightChars="-31"/>
              <w:jc w:val="center"/>
              <w:rPr>
                <w:rFonts w:ascii="宋体" w:hAnsi="宋体" w:cs="宋体"/>
                <w:color w:val="auto"/>
                <w:kern w:val="0"/>
                <w:sz w:val="24"/>
              </w:rPr>
            </w:pPr>
            <w:r>
              <w:rPr>
                <w:rFonts w:hint="eastAsia" w:ascii="宋体" w:hAnsi="宋体" w:cs="宋体"/>
                <w:color w:val="auto"/>
                <w:kern w:val="0"/>
                <w:sz w:val="24"/>
                <w:lang w:eastAsia="zh-CN"/>
              </w:rPr>
              <w:t>服务</w:t>
            </w:r>
            <w:r>
              <w:rPr>
                <w:rFonts w:hint="eastAsia" w:ascii="宋体" w:hAnsi="宋体" w:cs="宋体"/>
                <w:color w:val="auto"/>
                <w:kern w:val="0"/>
                <w:sz w:val="24"/>
              </w:rPr>
              <w:t>期</w:t>
            </w:r>
          </w:p>
        </w:tc>
        <w:tc>
          <w:tcPr>
            <w:tcW w:w="7840" w:type="dxa"/>
            <w:gridSpan w:val="5"/>
            <w:vAlign w:val="center"/>
          </w:tcPr>
          <w:p>
            <w:pPr>
              <w:spacing w:line="240" w:lineRule="atLeast"/>
              <w:ind w:left="-48" w:leftChars="-23" w:right="-65" w:rightChars="-31"/>
              <w:jc w:val="left"/>
              <w:rPr>
                <w:rFonts w:hint="eastAsia" w:ascii="宋体" w:hAnsi="宋体" w:cs="宋体" w:eastAsiaTheme="minorEastAsia"/>
                <w:color w:val="auto"/>
                <w:kern w:val="0"/>
                <w:sz w:val="24"/>
                <w:lang w:eastAsia="zh-CN"/>
              </w:rPr>
            </w:pPr>
            <w:r>
              <w:rPr>
                <w:rFonts w:hint="eastAsia" w:ascii="宋体" w:hAnsi="宋体" w:cs="宋体"/>
                <w:color w:val="auto"/>
                <w:kern w:val="0"/>
                <w:sz w:val="24"/>
                <w:lang w:val="en-US" w:eastAsia="zh-CN"/>
              </w:rPr>
              <w:t>合同签订之日起2年2年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709" w:type="dxa"/>
            <w:gridSpan w:val="2"/>
            <w:vAlign w:val="center"/>
          </w:tcPr>
          <w:p>
            <w:pPr>
              <w:spacing w:line="240" w:lineRule="atLeast"/>
              <w:ind w:left="-48" w:leftChars="-23" w:right="-65" w:rightChars="-31"/>
              <w:jc w:val="center"/>
              <w:rPr>
                <w:rFonts w:hint="eastAsia" w:ascii="宋体" w:hAnsi="宋体" w:cs="宋体" w:eastAsiaTheme="minorEastAsia"/>
                <w:kern w:val="0"/>
                <w:sz w:val="24"/>
                <w:lang w:eastAsia="zh-CN"/>
              </w:rPr>
            </w:pPr>
            <w:r>
              <w:rPr>
                <w:rFonts w:hint="eastAsia" w:ascii="宋体" w:hAnsi="宋体" w:cs="宋体"/>
                <w:kern w:val="0"/>
                <w:sz w:val="24"/>
              </w:rPr>
              <w:t>质</w:t>
            </w:r>
            <w:r>
              <w:rPr>
                <w:rFonts w:hint="eastAsia" w:ascii="宋体" w:hAnsi="宋体" w:cs="宋体"/>
                <w:kern w:val="0"/>
                <w:sz w:val="24"/>
                <w:lang w:eastAsia="zh-CN"/>
              </w:rPr>
              <w:t>量标准</w:t>
            </w:r>
          </w:p>
        </w:tc>
        <w:tc>
          <w:tcPr>
            <w:tcW w:w="7840" w:type="dxa"/>
            <w:gridSpan w:val="5"/>
            <w:vAlign w:val="center"/>
          </w:tcPr>
          <w:p>
            <w:pPr>
              <w:spacing w:line="240" w:lineRule="atLeast"/>
              <w:ind w:left="-48" w:leftChars="-23" w:right="-65" w:rightChars="-31"/>
              <w:jc w:val="left"/>
              <w:rPr>
                <w:rFonts w:hint="eastAsia" w:ascii="宋体" w:hAnsi="宋体" w:cs="宋体" w:eastAsiaTheme="minorEastAsia"/>
                <w:kern w:val="0"/>
                <w:sz w:val="24"/>
                <w:lang w:eastAsia="zh-CN"/>
              </w:rPr>
            </w:pPr>
            <w:r>
              <w:rPr>
                <w:rFonts w:hint="eastAsia" w:ascii="宋体" w:hAnsi="宋体" w:cs="宋体"/>
                <w:kern w:val="0"/>
                <w:sz w:val="24"/>
                <w:lang w:eastAsia="zh-CN"/>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trPr>
        <w:tc>
          <w:tcPr>
            <w:tcW w:w="1709" w:type="dxa"/>
            <w:gridSpan w:val="2"/>
            <w:vAlign w:val="center"/>
          </w:tcPr>
          <w:p>
            <w:pPr>
              <w:spacing w:line="240" w:lineRule="atLeast"/>
              <w:ind w:left="-48" w:leftChars="-23" w:right="-65" w:rightChars="-31"/>
              <w:jc w:val="center"/>
              <w:rPr>
                <w:rFonts w:ascii="宋体" w:hAnsi="宋体" w:cs="宋体"/>
                <w:kern w:val="0"/>
                <w:sz w:val="24"/>
              </w:rPr>
            </w:pPr>
            <w:r>
              <w:rPr>
                <w:rFonts w:hint="eastAsia" w:ascii="宋体" w:hAnsi="宋体" w:cs="宋体"/>
                <w:kern w:val="0"/>
                <w:sz w:val="24"/>
              </w:rPr>
              <w:t>备注</w:t>
            </w:r>
          </w:p>
        </w:tc>
        <w:tc>
          <w:tcPr>
            <w:tcW w:w="7840" w:type="dxa"/>
            <w:gridSpan w:val="5"/>
            <w:vAlign w:val="center"/>
          </w:tcPr>
          <w:p>
            <w:pPr>
              <w:spacing w:line="276" w:lineRule="auto"/>
              <w:ind w:left="-48" w:leftChars="-23" w:right="-65" w:rightChars="-31"/>
              <w:jc w:val="left"/>
              <w:rPr>
                <w:rFonts w:ascii="宋体" w:hAnsi="宋体"/>
                <w:sz w:val="24"/>
              </w:rPr>
            </w:pPr>
            <w:r>
              <w:rPr>
                <w:rFonts w:hint="eastAsia" w:ascii="Times New Roman" w:hAnsi="宋体"/>
                <w:sz w:val="24"/>
              </w:rPr>
              <w:t>小型和微型企业、监狱企业、残疾人福利性单位价格扣除</w:t>
            </w:r>
            <w:r>
              <w:rPr>
                <w:rFonts w:hint="eastAsia" w:ascii="宋体" w:hAnsi="宋体"/>
                <w:sz w:val="24"/>
              </w:rPr>
              <w:t>合计（</w:t>
            </w:r>
            <w:r>
              <w:rPr>
                <w:rFonts w:hint="eastAsia" w:ascii="宋体" w:hAnsi="宋体" w:cs="宋体"/>
                <w:kern w:val="0"/>
                <w:sz w:val="24"/>
              </w:rPr>
              <w:t>大写</w:t>
            </w:r>
            <w:r>
              <w:rPr>
                <w:rFonts w:hint="eastAsia" w:ascii="宋体" w:hAnsi="宋体"/>
                <w:sz w:val="24"/>
              </w:rPr>
              <w:t>）：</w:t>
            </w:r>
          </w:p>
          <w:p>
            <w:pPr>
              <w:spacing w:line="276" w:lineRule="auto"/>
              <w:ind w:left="-48" w:leftChars="-23" w:right="-65" w:rightChars="-31"/>
              <w:jc w:val="left"/>
              <w:rPr>
                <w:rFonts w:hint="eastAsia" w:ascii="宋体" w:hAnsi="宋体" w:cs="宋体" w:eastAsiaTheme="minorEastAsia"/>
                <w:kern w:val="0"/>
                <w:sz w:val="24"/>
                <w:lang w:eastAsia="zh-CN"/>
              </w:rPr>
            </w:pP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lang w:val="en-US" w:eastAsia="zh-CN"/>
              </w:rPr>
              <w:t xml:space="preserve"> </w:t>
            </w:r>
          </w:p>
        </w:tc>
      </w:tr>
    </w:tbl>
    <w:p>
      <w:pPr>
        <w:spacing w:line="360" w:lineRule="auto"/>
        <w:ind w:left="1049" w:hanging="1048" w:hangingChars="437"/>
        <w:jc w:val="left"/>
        <w:rPr>
          <w:rFonts w:ascii="宋体" w:hAnsi="宋体"/>
          <w:sz w:val="24"/>
        </w:rPr>
      </w:pPr>
      <w:r>
        <w:rPr>
          <w:rFonts w:hint="eastAsia" w:ascii="宋体" w:hAnsi="宋体"/>
          <w:sz w:val="24"/>
        </w:rPr>
        <w:t>说明：1．所有价格均用人民币表示，单位为元。</w:t>
      </w:r>
    </w:p>
    <w:p>
      <w:pPr>
        <w:spacing w:line="360" w:lineRule="auto"/>
        <w:ind w:left="1062" w:leftChars="339" w:hanging="350" w:hangingChars="146"/>
        <w:jc w:val="left"/>
        <w:rPr>
          <w:rFonts w:ascii="宋体" w:hAnsi="宋体"/>
          <w:b/>
          <w:sz w:val="24"/>
        </w:rPr>
      </w:pPr>
      <w:r>
        <w:rPr>
          <w:rFonts w:hint="eastAsia" w:ascii="宋体" w:hAnsi="宋体"/>
          <w:sz w:val="24"/>
          <w:lang w:val="en-US" w:eastAsia="zh-CN"/>
        </w:rPr>
        <w:t>2</w:t>
      </w:r>
      <w:r>
        <w:rPr>
          <w:rFonts w:hint="eastAsia" w:ascii="宋体" w:hAnsi="宋体"/>
          <w:sz w:val="24"/>
        </w:rPr>
        <w:t>．为方便开标时唱标，投标人应另附《报价一览表》</w:t>
      </w:r>
      <w:r>
        <w:rPr>
          <w:rFonts w:hint="eastAsia" w:ascii="宋体" w:hAnsi="宋体"/>
          <w:spacing w:val="-6"/>
          <w:kern w:val="0"/>
          <w:sz w:val="24"/>
        </w:rPr>
        <w:t>单独密封提交</w:t>
      </w:r>
      <w:r>
        <w:rPr>
          <w:rFonts w:hint="eastAsia" w:ascii="宋体" w:hAnsi="宋体"/>
          <w:sz w:val="24"/>
        </w:rPr>
        <w:t>，并在信封上标明“报价一览表”字样。未单独提交或单独提交的上述资料未按照招标文件规定的格式填写完整并签字、盖章</w:t>
      </w:r>
      <w:r>
        <w:rPr>
          <w:rFonts w:hint="eastAsia" w:ascii="宋体" w:hAnsi="宋体"/>
          <w:sz w:val="24"/>
          <w:szCs w:val="20"/>
        </w:rPr>
        <w:t>的代理机构</w:t>
      </w:r>
      <w:r>
        <w:rPr>
          <w:rFonts w:hint="eastAsia" w:ascii="宋体" w:hAnsi="宋体"/>
          <w:b/>
          <w:sz w:val="24"/>
          <w:szCs w:val="20"/>
        </w:rPr>
        <w:t>拒绝</w:t>
      </w:r>
      <w:r>
        <w:rPr>
          <w:rFonts w:hint="eastAsia" w:ascii="宋体" w:hAnsi="宋体"/>
          <w:sz w:val="24"/>
          <w:szCs w:val="20"/>
        </w:rPr>
        <w:t>其投标。</w:t>
      </w:r>
    </w:p>
    <w:p>
      <w:pPr>
        <w:spacing w:line="360" w:lineRule="auto"/>
        <w:ind w:left="1062" w:leftChars="339" w:hanging="350" w:hangingChars="146"/>
        <w:jc w:val="left"/>
        <w:rPr>
          <w:rFonts w:ascii="宋体" w:hAnsi="宋体"/>
          <w:sz w:val="24"/>
        </w:rPr>
      </w:pPr>
      <w:r>
        <w:rPr>
          <w:rFonts w:hint="eastAsia" w:ascii="宋体" w:hAnsi="宋体"/>
          <w:sz w:val="24"/>
          <w:lang w:val="en-US" w:eastAsia="zh-CN"/>
        </w:rPr>
        <w:t>3</w:t>
      </w:r>
      <w:r>
        <w:rPr>
          <w:rFonts w:hint="eastAsia" w:ascii="宋体" w:hAnsi="宋体"/>
          <w:sz w:val="24"/>
        </w:rPr>
        <w:t>. 本表应按要求由投标人法人授权代表签字，并加盖投标单位公章，否则将被视为非响应性投标，将按照</w:t>
      </w:r>
      <w:r>
        <w:rPr>
          <w:rFonts w:hint="eastAsia" w:ascii="宋体" w:hAnsi="宋体"/>
          <w:b/>
          <w:sz w:val="24"/>
        </w:rPr>
        <w:t>无效投标处理</w:t>
      </w:r>
      <w:r>
        <w:rPr>
          <w:rFonts w:hint="eastAsia" w:ascii="宋体" w:hAnsi="宋体"/>
          <w:sz w:val="24"/>
        </w:rPr>
        <w:t>。</w:t>
      </w:r>
    </w:p>
    <w:p>
      <w:pPr>
        <w:spacing w:line="360" w:lineRule="auto"/>
        <w:ind w:left="1062" w:leftChars="339" w:hanging="350" w:hangingChars="146"/>
        <w:jc w:val="left"/>
        <w:rPr>
          <w:rFonts w:ascii="宋体" w:hAnsi="宋体"/>
          <w:sz w:val="24"/>
        </w:rPr>
      </w:pPr>
      <w:r>
        <w:rPr>
          <w:rFonts w:hint="eastAsia" w:ascii="宋体" w:hAnsi="宋体"/>
          <w:sz w:val="24"/>
          <w:lang w:val="en-US" w:eastAsia="zh-CN"/>
        </w:rPr>
        <w:t>4</w:t>
      </w:r>
      <w:r>
        <w:rPr>
          <w:rFonts w:hint="eastAsia" w:ascii="宋体" w:hAnsi="宋体"/>
          <w:sz w:val="24"/>
        </w:rPr>
        <w:t>.</w:t>
      </w:r>
      <w:r>
        <w:rPr>
          <w:rFonts w:hint="eastAsia" w:ascii="宋体" w:hAnsi="宋体" w:cs="宋体"/>
          <w:kern w:val="0"/>
          <w:sz w:val="24"/>
        </w:rPr>
        <w:t xml:space="preserve"> “备注”栏适用于投标存在价格扣除情形的；同时满足两种情形的，投标人选择其中一种情形进行填报。</w:t>
      </w:r>
    </w:p>
    <w:p>
      <w:pPr>
        <w:spacing w:before="100" w:beforeAutospacing="1" w:after="100" w:afterAutospacing="1" w:line="360" w:lineRule="auto"/>
        <w:ind w:firstLine="3330" w:firstLineChars="1382"/>
        <w:rPr>
          <w:rFonts w:ascii="宋体" w:hAnsi="宋体"/>
          <w:b/>
          <w:bCs/>
          <w:sz w:val="24"/>
          <w:szCs w:val="21"/>
          <w:u w:val="single"/>
        </w:rPr>
      </w:pPr>
      <w:r>
        <w:rPr>
          <w:rFonts w:hint="eastAsia" w:ascii="宋体" w:hAnsi="宋体"/>
          <w:b/>
          <w:bCs/>
          <w:sz w:val="24"/>
          <w:szCs w:val="21"/>
        </w:rPr>
        <w:t>投标人（公章）：</w:t>
      </w:r>
      <w:r>
        <w:rPr>
          <w:rFonts w:hint="eastAsia" w:ascii="宋体" w:hAnsi="宋体"/>
          <w:b/>
          <w:bCs/>
          <w:sz w:val="24"/>
          <w:szCs w:val="21"/>
          <w:u w:val="single"/>
        </w:rPr>
        <w:t xml:space="preserve">                          </w:t>
      </w:r>
    </w:p>
    <w:p>
      <w:pPr>
        <w:spacing w:before="100" w:beforeAutospacing="1" w:after="100" w:afterAutospacing="1" w:line="360" w:lineRule="auto"/>
        <w:ind w:firstLine="3330" w:firstLineChars="1382"/>
        <w:rPr>
          <w:rFonts w:ascii="宋体" w:hAnsi="宋体"/>
          <w:b/>
          <w:bCs/>
          <w:sz w:val="24"/>
          <w:szCs w:val="21"/>
          <w:u w:val="single"/>
        </w:rPr>
      </w:pPr>
      <w:r>
        <w:rPr>
          <w:rFonts w:hint="eastAsia" w:ascii="宋体" w:hAnsi="宋体"/>
          <w:b/>
          <w:bCs/>
          <w:sz w:val="24"/>
          <w:szCs w:val="21"/>
        </w:rPr>
        <w:t>投标人授权代表（签字）：</w:t>
      </w:r>
      <w:r>
        <w:rPr>
          <w:rFonts w:hint="eastAsia" w:ascii="宋体" w:hAnsi="宋体"/>
          <w:b/>
          <w:bCs/>
          <w:sz w:val="24"/>
          <w:szCs w:val="21"/>
          <w:u w:val="single"/>
        </w:rPr>
        <w:t xml:space="preserve">                  </w:t>
      </w:r>
    </w:p>
    <w:p>
      <w:pPr>
        <w:spacing w:before="100" w:beforeAutospacing="1" w:after="100" w:afterAutospacing="1" w:line="360" w:lineRule="auto"/>
        <w:ind w:firstLine="3330" w:firstLineChars="1382"/>
        <w:rPr>
          <w:rFonts w:hint="eastAsia" w:ascii="宋体" w:hAnsi="宋体" w:eastAsia="宋体"/>
          <w:b w:val="0"/>
          <w:sz w:val="24"/>
        </w:rPr>
      </w:pPr>
      <w:r>
        <w:rPr>
          <w:rFonts w:hint="eastAsia" w:ascii="宋体" w:hAnsi="宋体"/>
          <w:b/>
          <w:bCs/>
          <w:sz w:val="24"/>
          <w:szCs w:val="21"/>
        </w:rPr>
        <w:t>投标时间：</w:t>
      </w:r>
      <w:r>
        <w:rPr>
          <w:rFonts w:hint="eastAsia" w:ascii="宋体" w:hAnsi="宋体"/>
          <w:b/>
          <w:bCs/>
          <w:sz w:val="24"/>
          <w:szCs w:val="21"/>
          <w:u w:val="single"/>
        </w:rPr>
        <w:t xml:space="preserve">                                </w:t>
      </w:r>
      <w:r>
        <w:rPr>
          <w:rFonts w:hint="eastAsia" w:ascii="宋体" w:hAnsi="宋体" w:eastAsia="宋体"/>
          <w:b w:val="0"/>
          <w:sz w:val="24"/>
        </w:rPr>
        <w:br w:type="page"/>
      </w:r>
    </w:p>
    <w:p>
      <w:pPr>
        <w:pStyle w:val="6"/>
        <w:numPr>
          <w:ilvl w:val="3"/>
          <w:numId w:val="0"/>
        </w:numPr>
        <w:spacing w:before="56"/>
        <w:ind w:left="402" w:right="1111"/>
        <w:jc w:val="center"/>
      </w:pPr>
      <w:r>
        <w:t>分项报价明细表</w:t>
      </w:r>
    </w:p>
    <w:p/>
    <w:p>
      <w:pPr>
        <w:spacing w:line="360" w:lineRule="auto"/>
        <w:jc w:val="left"/>
        <w:rPr>
          <w:rFonts w:ascii="宋体" w:hAnsi="宋体"/>
          <w:b/>
          <w:sz w:val="24"/>
          <w:szCs w:val="21"/>
          <w:u w:val="single"/>
        </w:rPr>
      </w:pPr>
      <w:r>
        <w:rPr>
          <w:rFonts w:hint="eastAsia" w:ascii="宋体" w:hAnsi="宋体"/>
          <w:b/>
          <w:sz w:val="24"/>
          <w:szCs w:val="21"/>
        </w:rPr>
        <w:t>投 标 人：</w:t>
      </w:r>
      <w:r>
        <w:rPr>
          <w:rFonts w:hint="eastAsia" w:ascii="宋体" w:hAnsi="宋体"/>
          <w:b/>
          <w:sz w:val="24"/>
          <w:szCs w:val="21"/>
          <w:u w:val="single"/>
        </w:rPr>
        <w:t xml:space="preserve">                     </w:t>
      </w:r>
    </w:p>
    <w:p>
      <w:pPr>
        <w:spacing w:line="360" w:lineRule="auto"/>
        <w:jc w:val="left"/>
        <w:rPr>
          <w:rFonts w:ascii="宋体" w:hAnsi="宋体"/>
          <w:b/>
          <w:sz w:val="24"/>
          <w:szCs w:val="21"/>
        </w:rPr>
      </w:pPr>
      <w:r>
        <w:rPr>
          <w:rFonts w:hint="eastAsia" w:ascii="宋体" w:hAnsi="宋体"/>
          <w:b/>
          <w:sz w:val="24"/>
          <w:szCs w:val="21"/>
        </w:rPr>
        <w:t>项目名称：</w:t>
      </w:r>
      <w:r>
        <w:rPr>
          <w:rFonts w:hint="eastAsia" w:ascii="宋体" w:hAnsi="宋体"/>
          <w:b/>
          <w:sz w:val="24"/>
          <w:szCs w:val="21"/>
          <w:u w:val="single"/>
        </w:rPr>
        <w:t xml:space="preserve">                     </w:t>
      </w:r>
    </w:p>
    <w:p>
      <w:pPr>
        <w:spacing w:line="360" w:lineRule="auto"/>
        <w:jc w:val="left"/>
        <w:rPr>
          <w:rFonts w:ascii="宋体" w:hAnsi="宋体"/>
          <w:b/>
          <w:sz w:val="24"/>
          <w:szCs w:val="21"/>
          <w:u w:val="single"/>
        </w:rPr>
      </w:pPr>
      <w:r>
        <w:rPr>
          <w:rFonts w:hint="eastAsia" w:ascii="宋体" w:hAnsi="宋体"/>
          <w:b/>
          <w:sz w:val="24"/>
          <w:szCs w:val="21"/>
        </w:rPr>
        <w:t>项目编号：</w:t>
      </w:r>
      <w:r>
        <w:rPr>
          <w:rFonts w:hint="eastAsia" w:ascii="宋体" w:hAnsi="宋体"/>
          <w:b/>
          <w:sz w:val="24"/>
          <w:szCs w:val="21"/>
          <w:u w:val="single"/>
        </w:rPr>
        <w:t xml:space="preserve">                     </w:t>
      </w:r>
      <w:r>
        <w:rPr>
          <w:rFonts w:hint="eastAsia" w:ascii="宋体" w:hAnsi="宋体"/>
          <w:b/>
          <w:sz w:val="24"/>
          <w:szCs w:val="21"/>
        </w:rPr>
        <w:t xml:space="preserve">     </w:t>
      </w:r>
      <w:r>
        <w:rPr>
          <w:rFonts w:hint="eastAsia" w:ascii="宋体" w:hAnsi="宋体"/>
          <w:b/>
          <w:bCs/>
          <w:sz w:val="24"/>
          <w:szCs w:val="21"/>
        </w:rPr>
        <w:t xml:space="preserve">                </w:t>
      </w:r>
    </w:p>
    <w:tbl>
      <w:tblPr>
        <w:tblStyle w:val="23"/>
        <w:tblW w:w="95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599"/>
        <w:gridCol w:w="1129"/>
        <w:gridCol w:w="1264"/>
        <w:gridCol w:w="1243"/>
        <w:gridCol w:w="2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50" w:type="dxa"/>
            <w:shd w:val="clear" w:color="auto" w:fill="auto"/>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序号</w:t>
            </w:r>
          </w:p>
        </w:tc>
        <w:tc>
          <w:tcPr>
            <w:tcW w:w="2599" w:type="dxa"/>
            <w:shd w:val="clear" w:color="auto" w:fill="auto"/>
            <w:vAlign w:val="center"/>
          </w:tcPr>
          <w:p>
            <w:pPr>
              <w:spacing w:line="360" w:lineRule="auto"/>
              <w:ind w:left="-48" w:leftChars="-23" w:right="-65" w:rightChars="-31"/>
              <w:jc w:val="center"/>
              <w:rPr>
                <w:rFonts w:ascii="宋体" w:hAnsi="宋体" w:cs="宋体"/>
                <w:kern w:val="0"/>
                <w:sz w:val="24"/>
              </w:rPr>
            </w:pPr>
            <w:r>
              <w:rPr>
                <w:rFonts w:hint="eastAsia" w:ascii="宋体" w:hAnsi="宋体" w:cs="宋体"/>
                <w:kern w:val="0"/>
                <w:sz w:val="24"/>
              </w:rPr>
              <w:t>名称</w:t>
            </w:r>
          </w:p>
        </w:tc>
        <w:tc>
          <w:tcPr>
            <w:tcW w:w="1129" w:type="dxa"/>
            <w:shd w:val="clear" w:color="auto" w:fill="auto"/>
            <w:vAlign w:val="center"/>
          </w:tcPr>
          <w:p>
            <w:pPr>
              <w:ind w:left="-48" w:leftChars="-23" w:right="-65" w:rightChars="-31"/>
              <w:jc w:val="center"/>
              <w:rPr>
                <w:rFonts w:ascii="宋体" w:hAnsi="宋体" w:eastAsia="宋体" w:cs="宋体"/>
                <w:kern w:val="0"/>
                <w:sz w:val="24"/>
              </w:rPr>
            </w:pPr>
            <w:r>
              <w:rPr>
                <w:rFonts w:hint="eastAsia" w:ascii="宋体" w:hAnsi="宋体"/>
                <w:sz w:val="24"/>
              </w:rPr>
              <w:t>单位</w:t>
            </w:r>
          </w:p>
        </w:tc>
        <w:tc>
          <w:tcPr>
            <w:tcW w:w="1264" w:type="dxa"/>
            <w:shd w:val="clear" w:color="auto" w:fill="auto"/>
            <w:vAlign w:val="center"/>
          </w:tcPr>
          <w:p>
            <w:pPr>
              <w:spacing w:line="360" w:lineRule="auto"/>
              <w:ind w:left="-48" w:leftChars="-23" w:right="-65" w:rightChars="-31"/>
              <w:jc w:val="center"/>
              <w:rPr>
                <w:rFonts w:ascii="宋体" w:hAnsi="宋体" w:cs="宋体"/>
                <w:kern w:val="0"/>
                <w:sz w:val="24"/>
              </w:rPr>
            </w:pPr>
            <w:r>
              <w:rPr>
                <w:rFonts w:hint="eastAsia" w:ascii="宋体" w:hAnsi="宋体" w:cs="宋体"/>
                <w:kern w:val="0"/>
                <w:sz w:val="24"/>
              </w:rPr>
              <w:t>数量</w:t>
            </w:r>
          </w:p>
        </w:tc>
        <w:tc>
          <w:tcPr>
            <w:tcW w:w="1243" w:type="dxa"/>
            <w:shd w:val="clear" w:color="auto" w:fill="auto"/>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单价</w:t>
            </w:r>
          </w:p>
        </w:tc>
        <w:tc>
          <w:tcPr>
            <w:tcW w:w="2661" w:type="dxa"/>
            <w:shd w:val="clear" w:color="auto" w:fill="auto"/>
            <w:vAlign w:val="center"/>
          </w:tcPr>
          <w:p>
            <w:pPr>
              <w:spacing w:line="360" w:lineRule="auto"/>
              <w:ind w:left="-23" w:leftChars="-11" w:right="-65" w:rightChars="-31"/>
              <w:jc w:val="center"/>
              <w:rPr>
                <w:rFonts w:ascii="宋体" w:hAnsi="宋体" w:cs="宋体"/>
                <w:kern w:val="0"/>
                <w:sz w:val="24"/>
              </w:rPr>
            </w:pPr>
            <w:r>
              <w:rPr>
                <w:rFonts w:hint="eastAsia" w:ascii="宋体" w:hAnsi="宋体" w:cs="宋体"/>
                <w:kern w:val="0"/>
                <w:sz w:val="24"/>
              </w:rPr>
              <w:t>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650" w:type="dxa"/>
            <w:vAlign w:val="center"/>
          </w:tcPr>
          <w:p>
            <w:pPr>
              <w:numPr>
                <w:ilvl w:val="0"/>
                <w:numId w:val="18"/>
              </w:numPr>
              <w:tabs>
                <w:tab w:val="left" w:pos="82"/>
              </w:tabs>
              <w:adjustRightInd w:val="0"/>
              <w:snapToGrid w:val="0"/>
              <w:jc w:val="center"/>
              <w:rPr>
                <w:rFonts w:ascii="宋体" w:hAnsi="宋体"/>
                <w:sz w:val="24"/>
              </w:rPr>
            </w:pPr>
          </w:p>
        </w:tc>
        <w:tc>
          <w:tcPr>
            <w:tcW w:w="2599" w:type="dxa"/>
            <w:vAlign w:val="center"/>
          </w:tcPr>
          <w:p>
            <w:pPr>
              <w:jc w:val="center"/>
              <w:rPr>
                <w:rFonts w:hint="eastAsia" w:eastAsiaTheme="minorEastAsia"/>
                <w:sz w:val="24"/>
                <w:lang w:eastAsia="zh-CN"/>
              </w:rPr>
            </w:pPr>
          </w:p>
        </w:tc>
        <w:tc>
          <w:tcPr>
            <w:tcW w:w="1129" w:type="dxa"/>
            <w:vAlign w:val="center"/>
          </w:tcPr>
          <w:p>
            <w:pPr>
              <w:jc w:val="center"/>
              <w:rPr>
                <w:rFonts w:hint="eastAsia" w:eastAsiaTheme="minorEastAsia"/>
                <w:sz w:val="24"/>
                <w:lang w:eastAsia="zh-CN"/>
              </w:rPr>
            </w:pPr>
          </w:p>
        </w:tc>
        <w:tc>
          <w:tcPr>
            <w:tcW w:w="1264" w:type="dxa"/>
            <w:vAlign w:val="center"/>
          </w:tcPr>
          <w:p>
            <w:pPr>
              <w:jc w:val="center"/>
              <w:rPr>
                <w:rFonts w:hint="default" w:eastAsiaTheme="minorEastAsia"/>
                <w:sz w:val="24"/>
                <w:lang w:val="en-US" w:eastAsia="zh-CN"/>
              </w:rPr>
            </w:pPr>
          </w:p>
        </w:tc>
        <w:tc>
          <w:tcPr>
            <w:tcW w:w="1243" w:type="dxa"/>
            <w:vAlign w:val="center"/>
          </w:tcPr>
          <w:p>
            <w:pPr>
              <w:spacing w:line="240" w:lineRule="atLeast"/>
              <w:ind w:left="-48" w:leftChars="-23" w:right="-65" w:rightChars="-31"/>
              <w:jc w:val="left"/>
              <w:rPr>
                <w:rFonts w:ascii="宋体" w:hAnsi="宋体" w:cs="宋体"/>
                <w:kern w:val="0"/>
                <w:sz w:val="24"/>
              </w:rPr>
            </w:pPr>
          </w:p>
        </w:tc>
        <w:tc>
          <w:tcPr>
            <w:tcW w:w="2661" w:type="dxa"/>
            <w:vAlign w:val="center"/>
          </w:tcPr>
          <w:p>
            <w:pPr>
              <w:spacing w:line="240" w:lineRule="atLeast"/>
              <w:ind w:left="-48" w:leftChars="-23" w:right="-65" w:rightChars="-31"/>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885" w:type="dxa"/>
            <w:gridSpan w:val="5"/>
            <w:vAlign w:val="center"/>
          </w:tcPr>
          <w:p>
            <w:pPr>
              <w:spacing w:line="240" w:lineRule="atLeast"/>
              <w:ind w:left="-48" w:leftChars="-23" w:right="-65" w:rightChars="-31"/>
              <w:jc w:val="center"/>
              <w:rPr>
                <w:rFonts w:ascii="宋体" w:hAnsi="宋体" w:cs="宋体"/>
                <w:kern w:val="0"/>
                <w:sz w:val="24"/>
              </w:rPr>
            </w:pPr>
            <w:r>
              <w:rPr>
                <w:rFonts w:hint="eastAsia" w:ascii="宋体" w:hAnsi="宋体" w:cs="宋体"/>
                <w:kern w:val="0"/>
                <w:sz w:val="24"/>
              </w:rPr>
              <w:t>合计</w:t>
            </w:r>
          </w:p>
        </w:tc>
        <w:tc>
          <w:tcPr>
            <w:tcW w:w="2661" w:type="dxa"/>
            <w:vAlign w:val="center"/>
          </w:tcPr>
          <w:p>
            <w:pPr>
              <w:spacing w:line="240" w:lineRule="atLeast"/>
              <w:ind w:left="-48" w:leftChars="-23" w:right="-65" w:rightChars="-31"/>
              <w:jc w:val="left"/>
              <w:rPr>
                <w:rFonts w:ascii="宋体" w:hAnsi="宋体" w:cs="宋体"/>
                <w:kern w:val="0"/>
                <w:sz w:val="24"/>
              </w:rPr>
            </w:pPr>
          </w:p>
        </w:tc>
      </w:tr>
    </w:tbl>
    <w:p>
      <w:pPr>
        <w:spacing w:line="360" w:lineRule="auto"/>
        <w:ind w:left="1049" w:hanging="1048" w:hangingChars="437"/>
        <w:jc w:val="left"/>
        <w:rPr>
          <w:rFonts w:hint="eastAsia" w:ascii="宋体" w:hAnsi="宋体"/>
          <w:sz w:val="24"/>
        </w:rPr>
      </w:pPr>
    </w:p>
    <w:p>
      <w:pPr>
        <w:spacing w:line="360" w:lineRule="auto"/>
        <w:ind w:left="1049" w:hanging="1048" w:hangingChars="437"/>
        <w:jc w:val="left"/>
        <w:rPr>
          <w:rFonts w:ascii="宋体" w:hAnsi="宋体"/>
          <w:sz w:val="24"/>
        </w:rPr>
      </w:pPr>
      <w:r>
        <w:rPr>
          <w:rFonts w:hint="eastAsia" w:ascii="宋体" w:hAnsi="宋体"/>
          <w:sz w:val="24"/>
        </w:rPr>
        <w:t>说明：1．所有价格均用人民币表示，单位为元。</w:t>
      </w:r>
    </w:p>
    <w:p>
      <w:pPr>
        <w:numPr>
          <w:ilvl w:val="0"/>
          <w:numId w:val="19"/>
        </w:numPr>
        <w:spacing w:line="360" w:lineRule="auto"/>
        <w:ind w:left="1062" w:leftChars="339" w:hanging="350" w:hangingChars="146"/>
        <w:jc w:val="left"/>
        <w:rPr>
          <w:rFonts w:hint="eastAsia" w:ascii="宋体" w:hAnsi="宋体"/>
          <w:sz w:val="24"/>
        </w:rPr>
      </w:pPr>
      <w:r>
        <w:rPr>
          <w:rFonts w:hint="eastAsia" w:ascii="宋体" w:hAnsi="宋体"/>
          <w:sz w:val="24"/>
        </w:rPr>
        <w:t>报价明细表合计应与《</w:t>
      </w:r>
      <w:r>
        <w:rPr>
          <w:rFonts w:hint="eastAsia" w:ascii="宋体" w:hAnsi="宋体"/>
          <w:sz w:val="24"/>
          <w:lang w:eastAsia="zh-CN"/>
        </w:rPr>
        <w:t>报价</w:t>
      </w:r>
      <w:r>
        <w:rPr>
          <w:rFonts w:hint="eastAsia" w:ascii="宋体" w:hAnsi="宋体"/>
          <w:sz w:val="24"/>
        </w:rPr>
        <w:t>一览表》中的投标总报价一致。</w:t>
      </w:r>
    </w:p>
    <w:p>
      <w:pPr>
        <w:numPr>
          <w:ilvl w:val="0"/>
          <w:numId w:val="19"/>
        </w:numPr>
        <w:spacing w:line="360" w:lineRule="auto"/>
        <w:ind w:left="1062" w:leftChars="339" w:hanging="350" w:hangingChars="146"/>
        <w:jc w:val="left"/>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投标单位所报价格应为含税全包价，包括与提供服务相关的人工、设备、保险、税费、知识产权及代理服务费等一切费用</w:t>
      </w:r>
      <w:r>
        <w:rPr>
          <w:rFonts w:hint="eastAsia" w:ascii="宋体" w:hAnsi="宋体" w:cstheme="minorBidi"/>
          <w:kern w:val="2"/>
          <w:sz w:val="24"/>
          <w:szCs w:val="24"/>
          <w:lang w:val="en-US" w:eastAsia="zh-CN" w:bidi="ar-SA"/>
        </w:rPr>
        <w:t>。</w:t>
      </w:r>
    </w:p>
    <w:p>
      <w:pPr>
        <w:numPr>
          <w:ilvl w:val="0"/>
          <w:numId w:val="19"/>
        </w:numPr>
        <w:spacing w:line="360" w:lineRule="auto"/>
        <w:ind w:left="1062" w:leftChars="339" w:hanging="350" w:hangingChars="146"/>
        <w:jc w:val="left"/>
        <w:rPr>
          <w:rFonts w:hint="eastAsia" w:ascii="宋体" w:hAnsi="宋体"/>
          <w:sz w:val="24"/>
        </w:rPr>
      </w:pPr>
      <w:r>
        <w:rPr>
          <w:rFonts w:hint="eastAsia" w:ascii="宋体" w:hAnsi="宋体"/>
          <w:sz w:val="24"/>
          <w:lang w:eastAsia="zh-CN"/>
        </w:rPr>
        <w:t>本明细表应按招标文件第三章采购明细逐项报价，</w:t>
      </w:r>
      <w:r>
        <w:rPr>
          <w:rFonts w:hint="eastAsia" w:ascii="宋体" w:hAnsi="宋体"/>
          <w:sz w:val="24"/>
        </w:rPr>
        <w:t>未提供详细的货物服务报价明细</w:t>
      </w:r>
      <w:r>
        <w:rPr>
          <w:rFonts w:hint="eastAsia" w:ascii="宋体" w:hAnsi="宋体" w:cs="Corbel"/>
          <w:sz w:val="24"/>
        </w:rPr>
        <w:t>，</w:t>
      </w:r>
      <w:r>
        <w:rPr>
          <w:rFonts w:hint="eastAsia" w:ascii="宋体" w:hAnsi="宋体"/>
          <w:sz w:val="24"/>
        </w:rPr>
        <w:t>导致的后果由投标人自行承担。</w:t>
      </w:r>
    </w:p>
    <w:p>
      <w:pPr>
        <w:pStyle w:val="2"/>
      </w:pPr>
    </w:p>
    <w:p>
      <w:pPr>
        <w:spacing w:line="360" w:lineRule="auto"/>
        <w:ind w:left="950" w:hanging="950" w:hangingChars="396"/>
        <w:jc w:val="left"/>
        <w:rPr>
          <w:rFonts w:ascii="宋体" w:hAnsi="宋体"/>
          <w:sz w:val="24"/>
        </w:rPr>
      </w:pPr>
    </w:p>
    <w:p>
      <w:pPr>
        <w:spacing w:line="360" w:lineRule="auto"/>
        <w:ind w:left="950" w:hanging="950" w:hangingChars="396"/>
        <w:jc w:val="left"/>
        <w:rPr>
          <w:rFonts w:ascii="宋体" w:hAnsi="宋体"/>
          <w:sz w:val="24"/>
        </w:rPr>
      </w:pPr>
    </w:p>
    <w:p>
      <w:pPr>
        <w:spacing w:line="360" w:lineRule="auto"/>
        <w:ind w:left="950" w:hanging="950" w:hangingChars="396"/>
        <w:jc w:val="left"/>
        <w:rPr>
          <w:rFonts w:ascii="宋体" w:hAnsi="宋体"/>
          <w:sz w:val="24"/>
        </w:rPr>
      </w:pPr>
    </w:p>
    <w:p>
      <w:pPr>
        <w:spacing w:before="100" w:beforeAutospacing="1" w:after="100" w:afterAutospacing="1" w:line="360" w:lineRule="auto"/>
        <w:ind w:firstLine="3330" w:firstLineChars="1382"/>
        <w:rPr>
          <w:rFonts w:hAnsi="宋体"/>
          <w:b/>
          <w:bCs/>
          <w:sz w:val="24"/>
          <w:u w:val="single"/>
        </w:rPr>
      </w:pPr>
      <w:r>
        <w:rPr>
          <w:rFonts w:hint="eastAsia" w:hAnsi="宋体"/>
          <w:b/>
          <w:bCs/>
          <w:sz w:val="24"/>
        </w:rPr>
        <w:t>投标人（公章）：</w:t>
      </w:r>
      <w:r>
        <w:rPr>
          <w:rFonts w:hint="eastAsia" w:hAnsi="宋体"/>
          <w:b/>
          <w:bCs/>
          <w:sz w:val="24"/>
          <w:u w:val="single"/>
        </w:rPr>
        <w:t xml:space="preserve">                          </w:t>
      </w:r>
    </w:p>
    <w:p>
      <w:pPr>
        <w:spacing w:before="100" w:beforeAutospacing="1" w:after="100" w:afterAutospacing="1" w:line="360" w:lineRule="auto"/>
        <w:ind w:firstLine="3330" w:firstLineChars="1382"/>
        <w:rPr>
          <w:rFonts w:hAnsi="宋体"/>
          <w:b/>
          <w:bCs/>
          <w:sz w:val="24"/>
          <w:u w:val="single"/>
        </w:rPr>
      </w:pPr>
      <w:r>
        <w:rPr>
          <w:rFonts w:hint="eastAsia" w:ascii="宋体" w:hAnsi="宋体"/>
          <w:b/>
          <w:bCs/>
          <w:sz w:val="24"/>
          <w:szCs w:val="21"/>
        </w:rPr>
        <w:t>投标人</w:t>
      </w:r>
      <w:r>
        <w:rPr>
          <w:rFonts w:hint="eastAsia" w:hAnsi="宋体"/>
          <w:b/>
          <w:bCs/>
          <w:sz w:val="24"/>
        </w:rPr>
        <w:t>授权代表（签字）：</w:t>
      </w:r>
      <w:r>
        <w:rPr>
          <w:rFonts w:hint="eastAsia" w:hAnsi="宋体"/>
          <w:b/>
          <w:bCs/>
          <w:sz w:val="24"/>
          <w:u w:val="single"/>
        </w:rPr>
        <w:t xml:space="preserve">                  </w:t>
      </w:r>
    </w:p>
    <w:p>
      <w:pPr>
        <w:spacing w:before="100" w:beforeAutospacing="1" w:after="100" w:afterAutospacing="1" w:line="360" w:lineRule="auto"/>
        <w:ind w:firstLine="3330" w:firstLineChars="1382"/>
        <w:rPr>
          <w:rFonts w:hAnsi="宋体"/>
          <w:b/>
          <w:bCs/>
          <w:sz w:val="24"/>
          <w:u w:val="single"/>
        </w:rPr>
      </w:pPr>
      <w:r>
        <w:rPr>
          <w:rFonts w:hint="eastAsia" w:ascii="宋体" w:hAnsi="宋体"/>
          <w:b/>
          <w:bCs/>
          <w:sz w:val="24"/>
          <w:szCs w:val="21"/>
        </w:rPr>
        <w:t>投标</w:t>
      </w:r>
      <w:r>
        <w:rPr>
          <w:rFonts w:hint="eastAsia" w:hAnsi="宋体"/>
          <w:b/>
          <w:bCs/>
          <w:sz w:val="24"/>
        </w:rPr>
        <w:t>时间：</w:t>
      </w:r>
      <w:r>
        <w:rPr>
          <w:rFonts w:hint="eastAsia" w:hAnsi="宋体"/>
          <w:b/>
          <w:bCs/>
          <w:sz w:val="24"/>
          <w:u w:val="single"/>
        </w:rPr>
        <w:t xml:space="preserve">                               </w:t>
      </w:r>
    </w:p>
    <w:p>
      <w:pPr>
        <w:pStyle w:val="4"/>
        <w:rPr>
          <w:rFonts w:ascii="宋体" w:hAnsi="宋体" w:eastAsia="宋体"/>
        </w:rPr>
      </w:pPr>
      <w:r>
        <w:rPr>
          <w:rFonts w:hint="eastAsia" w:ascii="宋体" w:hAnsi="宋体" w:eastAsia="宋体"/>
          <w:b w:val="0"/>
          <w:sz w:val="24"/>
        </w:rPr>
        <w:br w:type="page"/>
      </w:r>
      <w:bookmarkStart w:id="9" w:name="_Toc465347025"/>
      <w:bookmarkStart w:id="10" w:name="_Toc236473303"/>
      <w:bookmarkStart w:id="11" w:name="_Toc238276247"/>
      <w:r>
        <w:rPr>
          <w:rFonts w:hint="eastAsia" w:ascii="宋体" w:hAnsi="宋体" w:eastAsia="宋体" w:cs="Corbel"/>
          <w:sz w:val="36"/>
          <w:szCs w:val="36"/>
        </w:rPr>
        <w:t>附件三：法定代表人授权书</w:t>
      </w:r>
      <w:bookmarkEnd w:id="9"/>
      <w:bookmarkEnd w:id="10"/>
      <w:bookmarkEnd w:id="11"/>
    </w:p>
    <w:p>
      <w:pPr>
        <w:spacing w:line="360" w:lineRule="auto"/>
        <w:rPr>
          <w:rFonts w:hAnsi="宋体"/>
          <w:b/>
          <w:bCs/>
          <w:sz w:val="24"/>
        </w:rPr>
      </w:pPr>
    </w:p>
    <w:p>
      <w:pPr>
        <w:spacing w:line="360" w:lineRule="auto"/>
        <w:rPr>
          <w:rFonts w:hAnsi="宋体"/>
          <w:sz w:val="24"/>
        </w:rPr>
      </w:pPr>
      <w:r>
        <w:rPr>
          <w:rFonts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本人</w:t>
      </w:r>
      <w:r>
        <w:rPr>
          <w:rFonts w:hint="eastAsia" w:hAnsi="宋体"/>
          <w:sz w:val="24"/>
          <w:u w:val="single"/>
        </w:rPr>
        <w:t xml:space="preserve">   姓名   </w:t>
      </w:r>
      <w:r>
        <w:rPr>
          <w:rFonts w:hint="eastAsia" w:ascii="宋体" w:hAnsi="宋体"/>
          <w:sz w:val="24"/>
        </w:rPr>
        <w:t>系</w:t>
      </w:r>
      <w:r>
        <w:rPr>
          <w:rFonts w:hint="eastAsia" w:hAnsi="宋体"/>
          <w:sz w:val="24"/>
          <w:u w:val="single"/>
        </w:rPr>
        <w:t xml:space="preserve">    投标人名称    </w:t>
      </w:r>
      <w:r>
        <w:rPr>
          <w:rFonts w:hint="eastAsia" w:ascii="宋体" w:hAnsi="宋体"/>
          <w:sz w:val="24"/>
        </w:rPr>
        <w:t>的法定代表人，现委托</w:t>
      </w:r>
      <w:r>
        <w:rPr>
          <w:rFonts w:hint="eastAsia" w:hAnsi="宋体"/>
          <w:sz w:val="24"/>
          <w:u w:val="single"/>
        </w:rPr>
        <w:t xml:space="preserve">   姓名   </w:t>
      </w:r>
      <w:r>
        <w:rPr>
          <w:rFonts w:hint="eastAsia" w:ascii="宋体" w:hAnsi="宋体"/>
          <w:sz w:val="24"/>
        </w:rPr>
        <w:t>为我方代理人。代理人根据授权，以我方名义签署、澄清、说明、补正、递交、撤回、修改</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hAnsi="宋体"/>
          <w:sz w:val="24"/>
          <w:u w:val="single"/>
        </w:rPr>
        <w:t xml:space="preserve">项目名称      </w:t>
      </w:r>
      <w:r>
        <w:rPr>
          <w:rFonts w:hint="eastAsia" w:ascii="宋体" w:hAnsi="宋体"/>
          <w:sz w:val="24"/>
        </w:rPr>
        <w:t>招标文件、签订合同和处理有关事宜，其法律后果由我方承担。</w:t>
      </w:r>
    </w:p>
    <w:p>
      <w:pPr>
        <w:spacing w:line="360" w:lineRule="auto"/>
        <w:ind w:firstLine="480" w:firstLineChars="200"/>
        <w:rPr>
          <w:rFonts w:hAnsi="宋体"/>
          <w:sz w:val="24"/>
        </w:rPr>
      </w:pPr>
      <w:r>
        <w:rPr>
          <w:rFonts w:hint="eastAsia" w:ascii="宋体" w:hAnsi="宋体"/>
          <w:sz w:val="24"/>
        </w:rPr>
        <w:t>委托期限：</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sz w:val="24"/>
        </w:rPr>
        <w:t>。</w:t>
      </w:r>
    </w:p>
    <w:p>
      <w:pPr>
        <w:spacing w:line="360" w:lineRule="auto"/>
        <w:ind w:left="481" w:leftChars="229"/>
        <w:rPr>
          <w:rFonts w:hAnsi="宋体"/>
          <w:sz w:val="24"/>
        </w:rPr>
      </w:pPr>
      <w:r>
        <w:rPr>
          <w:rFonts w:hint="eastAsia" w:ascii="宋体" w:hAnsi="宋体"/>
          <w:sz w:val="24"/>
        </w:rPr>
        <w:t>代理人无转委托权。</w:t>
      </w:r>
    </w:p>
    <w:p>
      <w:pPr>
        <w:ind w:firstLine="4080" w:firstLineChars="1700"/>
        <w:rPr>
          <w:rFonts w:hAnsi="宋体"/>
          <w:sz w:val="24"/>
        </w:rPr>
      </w:pPr>
      <w:r>
        <w:rPr>
          <w:rFonts w:hint="eastAsia" w:hAnsi="宋体"/>
          <w:sz w:val="24"/>
        </w:rPr>
        <w:t xml:space="preserve"> </w:t>
      </w:r>
    </w:p>
    <w:tbl>
      <w:tblPr>
        <w:tblStyle w:val="23"/>
        <w:tblW w:w="758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5"/>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37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rPr>
            </w:pPr>
            <w:r>
              <w:rPr>
                <w:rFonts w:hint="eastAsia"/>
                <w:color w:val="000000"/>
              </w:rPr>
              <w:t>法定代表人身份证</w:t>
            </w:r>
          </w:p>
          <w:p>
            <w:pPr>
              <w:spacing w:line="440" w:lineRule="exact"/>
              <w:jc w:val="center"/>
              <w:rPr>
                <w:color w:val="000000"/>
              </w:rPr>
            </w:pPr>
            <w:r>
              <w:rPr>
                <w:rFonts w:hint="eastAsia"/>
                <w:color w:val="000000"/>
              </w:rPr>
              <w:t>正面</w:t>
            </w:r>
          </w:p>
        </w:tc>
        <w:tc>
          <w:tcPr>
            <w:tcW w:w="3800" w:type="dxa"/>
            <w:tcBorders>
              <w:top w:val="single" w:color="auto" w:sz="4" w:space="0"/>
              <w:left w:val="nil"/>
              <w:bottom w:val="single" w:color="auto" w:sz="4" w:space="0"/>
              <w:right w:val="single" w:color="auto" w:sz="4" w:space="0"/>
            </w:tcBorders>
            <w:vAlign w:val="center"/>
          </w:tcPr>
          <w:p>
            <w:pPr>
              <w:spacing w:line="440" w:lineRule="exact"/>
              <w:jc w:val="center"/>
              <w:rPr>
                <w:color w:val="000000"/>
              </w:rPr>
            </w:pPr>
            <w:r>
              <w:rPr>
                <w:rFonts w:hint="eastAsia"/>
                <w:color w:val="000000"/>
              </w:rPr>
              <w:t>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3" w:hRule="atLeast"/>
        </w:trPr>
        <w:tc>
          <w:tcPr>
            <w:tcW w:w="37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rPr>
            </w:pPr>
            <w:r>
              <w:rPr>
                <w:rFonts w:hint="eastAsia"/>
                <w:color w:val="000000"/>
              </w:rPr>
              <w:t>委托人身份证</w:t>
            </w:r>
          </w:p>
          <w:p>
            <w:pPr>
              <w:spacing w:line="440" w:lineRule="exact"/>
              <w:jc w:val="center"/>
              <w:rPr>
                <w:color w:val="000000"/>
              </w:rPr>
            </w:pPr>
            <w:r>
              <w:rPr>
                <w:rFonts w:hint="eastAsia"/>
                <w:color w:val="000000"/>
              </w:rPr>
              <w:t>正面</w:t>
            </w:r>
          </w:p>
        </w:tc>
        <w:tc>
          <w:tcPr>
            <w:tcW w:w="3800" w:type="dxa"/>
            <w:tcBorders>
              <w:top w:val="single" w:color="auto" w:sz="4" w:space="0"/>
              <w:left w:val="nil"/>
              <w:bottom w:val="single" w:color="auto" w:sz="4" w:space="0"/>
              <w:right w:val="single" w:color="auto" w:sz="4" w:space="0"/>
            </w:tcBorders>
            <w:vAlign w:val="center"/>
          </w:tcPr>
          <w:p>
            <w:pPr>
              <w:spacing w:line="440" w:lineRule="exact"/>
              <w:jc w:val="center"/>
              <w:rPr>
                <w:color w:val="000000"/>
              </w:rPr>
            </w:pPr>
            <w:r>
              <w:rPr>
                <w:rFonts w:hint="eastAsia"/>
                <w:color w:val="000000"/>
              </w:rPr>
              <w:t>反面</w:t>
            </w:r>
          </w:p>
        </w:tc>
      </w:tr>
    </w:tbl>
    <w:p>
      <w:pPr>
        <w:spacing w:line="360" w:lineRule="auto"/>
        <w:ind w:left="481" w:leftChars="229" w:firstLine="480" w:firstLineChars="200"/>
        <w:rPr>
          <w:rFonts w:hAnsi="宋体"/>
          <w:sz w:val="24"/>
        </w:rPr>
      </w:pPr>
      <w:r>
        <w:rPr>
          <w:rFonts w:hint="eastAsia" w:ascii="宋体" w:hAnsi="宋体"/>
          <w:sz w:val="24"/>
        </w:rPr>
        <w:t xml:space="preserve"> </w:t>
      </w:r>
      <w:r>
        <w:rPr>
          <w:rFonts w:hAnsi="宋体"/>
          <w:sz w:val="24"/>
        </w:rPr>
        <w:t xml:space="preserve">  </w:t>
      </w:r>
    </w:p>
    <w:p>
      <w:pPr>
        <w:spacing w:line="360" w:lineRule="auto"/>
        <w:rPr>
          <w:rFonts w:hAnsi="宋体"/>
          <w:sz w:val="24"/>
        </w:rPr>
      </w:pPr>
      <w:r>
        <w:rPr>
          <w:rFonts w:hint="eastAsia" w:ascii="宋体" w:hAnsi="宋体"/>
          <w:sz w:val="24"/>
        </w:rPr>
        <w:t>授权单位（签章）：</w:t>
      </w:r>
      <w:r>
        <w:rPr>
          <w:rFonts w:hAnsi="宋体"/>
          <w:sz w:val="24"/>
          <w:u w:val="single"/>
        </w:rPr>
        <w:t xml:space="preserve">                  </w:t>
      </w:r>
    </w:p>
    <w:p>
      <w:pPr>
        <w:spacing w:line="360" w:lineRule="auto"/>
        <w:rPr>
          <w:rFonts w:hAnsi="宋体"/>
          <w:sz w:val="24"/>
          <w:u w:val="single"/>
        </w:rPr>
      </w:pPr>
      <w:r>
        <w:rPr>
          <w:rFonts w:hint="eastAsia" w:ascii="宋体" w:hAnsi="宋体"/>
          <w:sz w:val="24"/>
        </w:rPr>
        <w:t>法定代表人（签字或盖章）：</w:t>
      </w:r>
      <w:r>
        <w:rPr>
          <w:rFonts w:hAnsi="宋体"/>
          <w:sz w:val="24"/>
          <w:u w:val="single"/>
        </w:rPr>
        <w:t xml:space="preserve">                  </w:t>
      </w:r>
    </w:p>
    <w:p>
      <w:pPr>
        <w:spacing w:line="360" w:lineRule="auto"/>
        <w:rPr>
          <w:rFonts w:hAnsi="宋体"/>
          <w:sz w:val="24"/>
          <w:u w:val="single"/>
        </w:rPr>
      </w:pPr>
      <w:r>
        <w:rPr>
          <w:rFonts w:hint="eastAsia" w:ascii="宋体" w:hAnsi="宋体"/>
          <w:sz w:val="24"/>
        </w:rPr>
        <w:t>身份证号码：</w:t>
      </w:r>
      <w:r>
        <w:rPr>
          <w:rFonts w:hAnsi="宋体"/>
          <w:sz w:val="24"/>
          <w:u w:val="single"/>
        </w:rPr>
        <w:t xml:space="preserve">                           </w:t>
      </w:r>
    </w:p>
    <w:p>
      <w:pPr>
        <w:spacing w:line="360" w:lineRule="auto"/>
        <w:rPr>
          <w:rFonts w:hAnsi="宋体"/>
          <w:sz w:val="24"/>
          <w:u w:val="single"/>
        </w:rPr>
      </w:pPr>
      <w:r>
        <w:rPr>
          <w:rFonts w:hint="eastAsia" w:ascii="宋体" w:hAnsi="宋体"/>
          <w:sz w:val="24"/>
        </w:rPr>
        <w:t>委托代理人（签字或盖章）：</w:t>
      </w:r>
      <w:r>
        <w:rPr>
          <w:rFonts w:hAnsi="宋体"/>
          <w:sz w:val="24"/>
          <w:u w:val="single"/>
        </w:rPr>
        <w:t xml:space="preserve">                  </w:t>
      </w:r>
    </w:p>
    <w:p>
      <w:pPr>
        <w:spacing w:line="360" w:lineRule="auto"/>
        <w:rPr>
          <w:rFonts w:hAnsi="宋体"/>
          <w:sz w:val="24"/>
          <w:u w:val="single"/>
        </w:rPr>
      </w:pPr>
      <w:r>
        <w:rPr>
          <w:rFonts w:hint="eastAsia" w:ascii="宋体" w:hAnsi="宋体"/>
          <w:sz w:val="24"/>
        </w:rPr>
        <w:t>身份证号码：</w:t>
      </w:r>
      <w:r>
        <w:rPr>
          <w:rFonts w:hAnsi="宋体"/>
          <w:sz w:val="24"/>
          <w:u w:val="single"/>
        </w:rPr>
        <w:t xml:space="preserve">                           </w:t>
      </w:r>
    </w:p>
    <w:p>
      <w:pPr>
        <w:wordWrap w:val="0"/>
        <w:spacing w:line="360" w:lineRule="auto"/>
        <w:jc w:val="right"/>
        <w:rPr>
          <w:rFonts w:ascii="宋体" w:hAnsi="宋体"/>
          <w:sz w:val="24"/>
        </w:rPr>
      </w:pPr>
    </w:p>
    <w:p>
      <w:pPr>
        <w:spacing w:line="360" w:lineRule="auto"/>
        <w:jc w:val="right"/>
        <w:rPr>
          <w:rFonts w:hAnsi="宋体"/>
          <w:sz w:val="24"/>
        </w:rPr>
      </w:pPr>
      <w:r>
        <w:rPr>
          <w:rFonts w:hint="eastAsia" w:ascii="宋体" w:hAnsi="宋体"/>
          <w:sz w:val="24"/>
        </w:rPr>
        <w:t>签发日期：</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sz w:val="24"/>
        </w:rPr>
        <w:t>年</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sz w:val="24"/>
        </w:rPr>
        <w:t>月</w:t>
      </w:r>
      <w:r>
        <w:rPr>
          <w:rFonts w:hAnsi="宋体"/>
          <w:sz w:val="24"/>
          <w:u w:val="single"/>
        </w:rPr>
        <w:t xml:space="preserve"> </w:t>
      </w:r>
      <w:r>
        <w:rPr>
          <w:rFonts w:hint="eastAsia" w:hAnsi="宋体"/>
          <w:sz w:val="24"/>
          <w:u w:val="single"/>
        </w:rPr>
        <w:t xml:space="preserve">  </w:t>
      </w:r>
      <w:r>
        <w:rPr>
          <w:rFonts w:hAnsi="宋体"/>
          <w:sz w:val="24"/>
          <w:u w:val="single"/>
        </w:rPr>
        <w:t xml:space="preserve">  </w:t>
      </w:r>
      <w:r>
        <w:rPr>
          <w:rFonts w:hint="eastAsia" w:ascii="宋体" w:hAnsi="宋体"/>
          <w:sz w:val="24"/>
        </w:rPr>
        <w:t>日</w:t>
      </w:r>
      <w:r>
        <w:rPr>
          <w:rFonts w:hint="eastAsia" w:hAnsi="宋体"/>
          <w:sz w:val="24"/>
        </w:rPr>
        <w:t xml:space="preserve"> </w:t>
      </w:r>
    </w:p>
    <w:p/>
    <w:p>
      <w:pPr>
        <w:pStyle w:val="4"/>
        <w:rPr>
          <w:rFonts w:ascii="宋体" w:hAnsi="宋体" w:eastAsia="宋体"/>
        </w:rPr>
      </w:pPr>
      <w:r>
        <w:rPr>
          <w:rFonts w:hint="eastAsia" w:ascii="宋体" w:hAnsi="宋体" w:eastAsia="宋体" w:cs="Corbel"/>
          <w:sz w:val="36"/>
          <w:szCs w:val="36"/>
        </w:rPr>
        <w:t>附件四：法定代表人证明书</w:t>
      </w:r>
    </w:p>
    <w:p>
      <w:pPr>
        <w:spacing w:line="360" w:lineRule="auto"/>
        <w:rPr>
          <w:rFonts w:hAnsi="宋体"/>
          <w:b/>
          <w:bCs/>
          <w:sz w:val="24"/>
        </w:rPr>
      </w:pPr>
    </w:p>
    <w:p>
      <w:pPr>
        <w:spacing w:line="360" w:lineRule="auto"/>
        <w:rPr>
          <w:rFonts w:hAnsi="宋体"/>
          <w:sz w:val="24"/>
        </w:rPr>
      </w:pPr>
      <w:r>
        <w:rPr>
          <w:rFonts w:hAnsi="宋体"/>
          <w:sz w:val="24"/>
          <w:u w:val="single"/>
        </w:rPr>
        <w:t>          </w:t>
      </w:r>
      <w:r>
        <w:rPr>
          <w:rFonts w:hint="eastAsia" w:hAnsi="宋体" w:cs="宋体"/>
          <w:sz w:val="24"/>
        </w:rPr>
        <w:t>：</w:t>
      </w:r>
    </w:p>
    <w:p>
      <w:pPr>
        <w:spacing w:line="360" w:lineRule="auto"/>
        <w:ind w:firstLine="480" w:firstLineChars="200"/>
        <w:rPr>
          <w:rFonts w:hAnsi="宋体"/>
          <w:sz w:val="24"/>
        </w:rPr>
      </w:pPr>
      <w:r>
        <w:rPr>
          <w:rFonts w:hint="eastAsia" w:hAnsi="宋体" w:cs="宋体"/>
          <w:sz w:val="24"/>
        </w:rPr>
        <w:t>本人</w:t>
      </w:r>
      <w:r>
        <w:rPr>
          <w:sz w:val="24"/>
        </w:rPr>
        <w:t>(</w:t>
      </w:r>
      <w:r>
        <w:rPr>
          <w:rFonts w:hint="eastAsia" w:hAnsi="宋体" w:cs="宋体"/>
          <w:sz w:val="24"/>
        </w:rPr>
        <w:t>姓名</w:t>
      </w:r>
      <w:r>
        <w:rPr>
          <w:sz w:val="24"/>
        </w:rPr>
        <w:t>)</w:t>
      </w:r>
      <w:r>
        <w:rPr>
          <w:rFonts w:hint="eastAsia" w:hAnsi="宋体" w:cs="宋体"/>
          <w:sz w:val="24"/>
        </w:rPr>
        <w:t>系</w:t>
      </w:r>
      <w:r>
        <w:rPr>
          <w:sz w:val="24"/>
          <w:u w:val="single"/>
        </w:rPr>
        <w:tab/>
      </w:r>
      <w:r>
        <w:rPr>
          <w:sz w:val="24"/>
        </w:rPr>
        <w:t>(</w:t>
      </w:r>
      <w:r>
        <w:rPr>
          <w:rFonts w:hint="eastAsia" w:hAnsi="宋体" w:cs="宋体"/>
          <w:sz w:val="24"/>
        </w:rPr>
        <w:t>投标人名称</w:t>
      </w:r>
      <w:r>
        <w:rPr>
          <w:sz w:val="24"/>
        </w:rPr>
        <w:t>)</w:t>
      </w:r>
      <w:r>
        <w:rPr>
          <w:rFonts w:hint="eastAsia" w:hAnsi="宋体" w:cs="宋体"/>
          <w:sz w:val="24"/>
        </w:rPr>
        <w:t>的法定代表人。全权代表我公司处理（项目名称）投标文件、签订合同和处理有关事宜。</w:t>
      </w:r>
    </w:p>
    <w:p>
      <w:pPr>
        <w:spacing w:line="360" w:lineRule="auto"/>
        <w:ind w:left="481" w:leftChars="229"/>
        <w:rPr>
          <w:rFonts w:hAnsi="宋体"/>
          <w:sz w:val="24"/>
        </w:rPr>
      </w:pPr>
      <w:r>
        <w:rPr>
          <w:rFonts w:hint="eastAsia" w:hAnsi="宋体" w:cs="宋体"/>
          <w:sz w:val="24"/>
        </w:rPr>
        <w:t>特此委托</w:t>
      </w:r>
    </w:p>
    <w:p>
      <w:pPr>
        <w:spacing w:line="360" w:lineRule="auto"/>
        <w:ind w:left="481" w:leftChars="229" w:firstLine="480" w:firstLineChars="200"/>
        <w:rPr>
          <w:rFonts w:hAnsi="宋体"/>
          <w:sz w:val="24"/>
        </w:rPr>
      </w:pPr>
    </w:p>
    <w:p>
      <w:pPr>
        <w:spacing w:line="360" w:lineRule="auto"/>
        <w:ind w:left="481" w:leftChars="229" w:firstLine="480" w:firstLineChars="200"/>
        <w:rPr>
          <w:rFonts w:hAnsi="宋体"/>
          <w:sz w:val="24"/>
        </w:rPr>
      </w:pPr>
    </w:p>
    <w:p>
      <w:pPr>
        <w:spacing w:line="360" w:lineRule="auto"/>
        <w:ind w:left="481" w:leftChars="229" w:firstLine="480" w:firstLineChars="200"/>
        <w:rPr>
          <w:rFonts w:hAnsi="宋体"/>
          <w:sz w:val="24"/>
        </w:rPr>
      </w:pPr>
    </w:p>
    <w:p>
      <w:pPr>
        <w:spacing w:line="360" w:lineRule="auto"/>
        <w:ind w:left="481" w:leftChars="229" w:firstLine="480" w:firstLineChars="200"/>
        <w:rPr>
          <w:rFonts w:hAnsi="宋体"/>
          <w:sz w:val="24"/>
        </w:rPr>
      </w:pPr>
    </w:p>
    <w:p>
      <w:pPr>
        <w:spacing w:line="360" w:lineRule="auto"/>
        <w:ind w:left="481" w:leftChars="229" w:firstLine="480" w:firstLineChars="200"/>
        <w:rPr>
          <w:rFonts w:hAnsi="宋体"/>
          <w:sz w:val="24"/>
        </w:rPr>
      </w:pPr>
    </w:p>
    <w:p>
      <w:pPr>
        <w:spacing w:line="360" w:lineRule="auto"/>
        <w:ind w:left="481" w:leftChars="229" w:firstLine="3480" w:firstLineChars="1450"/>
        <w:rPr>
          <w:rFonts w:hAnsi="宋体"/>
          <w:sz w:val="24"/>
        </w:rPr>
      </w:pPr>
      <w:r>
        <w:rPr>
          <w:rFonts w:hint="eastAsia" w:hAnsi="宋体" w:cs="宋体"/>
          <w:sz w:val="24"/>
        </w:rPr>
        <w:t>授权单位（签章）：</w:t>
      </w:r>
      <w:r>
        <w:rPr>
          <w:rFonts w:hAnsi="宋体"/>
          <w:sz w:val="24"/>
          <w:u w:val="single"/>
        </w:rPr>
        <w:t>         </w:t>
      </w:r>
    </w:p>
    <w:p>
      <w:pPr>
        <w:spacing w:line="360" w:lineRule="auto"/>
        <w:ind w:left="481" w:leftChars="229" w:firstLine="3480" w:firstLineChars="1450"/>
        <w:rPr>
          <w:rFonts w:hAnsi="宋体"/>
          <w:sz w:val="24"/>
        </w:rPr>
      </w:pPr>
      <w:r>
        <w:rPr>
          <w:rFonts w:hint="eastAsia" w:hAnsi="宋体" w:cs="宋体"/>
          <w:sz w:val="24"/>
        </w:rPr>
        <w:t>法定代表人（签字或盖章）：</w:t>
      </w:r>
      <w:r>
        <w:rPr>
          <w:rFonts w:hAnsi="宋体"/>
          <w:sz w:val="24"/>
          <w:u w:val="single"/>
        </w:rPr>
        <w:t>      </w:t>
      </w:r>
    </w:p>
    <w:p>
      <w:pPr>
        <w:ind w:firstLine="4080" w:firstLineChars="1700"/>
        <w:rPr>
          <w:rFonts w:hAnsi="宋体" w:cs="宋体"/>
          <w:sz w:val="24"/>
        </w:rPr>
      </w:pPr>
      <w:r>
        <w:rPr>
          <w:rFonts w:hint="eastAsia" w:hAnsi="宋体" w:cs="宋体"/>
          <w:sz w:val="24"/>
        </w:rPr>
        <w:t>签发日期：</w:t>
      </w:r>
      <w:r>
        <w:rPr>
          <w:rFonts w:hAnsi="宋体"/>
          <w:sz w:val="24"/>
          <w:u w:val="single"/>
        </w:rPr>
        <w:t>    </w:t>
      </w:r>
      <w:r>
        <w:rPr>
          <w:rFonts w:hint="eastAsia" w:hAnsi="宋体" w:cs="宋体"/>
          <w:sz w:val="24"/>
        </w:rPr>
        <w:t>年</w:t>
      </w:r>
      <w:r>
        <w:rPr>
          <w:rFonts w:hAnsi="宋体"/>
          <w:sz w:val="24"/>
          <w:u w:val="single"/>
        </w:rPr>
        <w:t>   </w:t>
      </w:r>
      <w:r>
        <w:rPr>
          <w:rFonts w:hint="eastAsia" w:hAnsi="宋体" w:cs="宋体"/>
          <w:sz w:val="24"/>
        </w:rPr>
        <w:t>月</w:t>
      </w:r>
      <w:r>
        <w:rPr>
          <w:rFonts w:hAnsi="宋体"/>
          <w:sz w:val="24"/>
          <w:u w:val="single"/>
        </w:rPr>
        <w:t>   </w:t>
      </w:r>
      <w:r>
        <w:rPr>
          <w:rFonts w:hint="eastAsia" w:hAnsi="宋体" w:cs="宋体"/>
          <w:sz w:val="24"/>
        </w:rPr>
        <w:t>日</w:t>
      </w:r>
    </w:p>
    <w:p>
      <w:pPr>
        <w:ind w:firstLine="4080" w:firstLineChars="1700"/>
        <w:rPr>
          <w:rFonts w:hAnsi="宋体" w:cs="宋体"/>
          <w:sz w:val="24"/>
        </w:rPr>
      </w:pPr>
    </w:p>
    <w:p>
      <w:pPr>
        <w:ind w:firstLine="4080" w:firstLineChars="1700"/>
        <w:rPr>
          <w:rFonts w:hAnsi="宋体" w:cs="宋体"/>
          <w:sz w:val="24"/>
        </w:rPr>
      </w:pPr>
    </w:p>
    <w:p>
      <w:pPr>
        <w:ind w:firstLine="4080" w:firstLineChars="1700"/>
        <w:rPr>
          <w:rFonts w:hAnsi="宋体" w:cs="宋体"/>
          <w:sz w:val="24"/>
        </w:rPr>
      </w:pPr>
    </w:p>
    <w:tbl>
      <w:tblPr>
        <w:tblStyle w:val="23"/>
        <w:tblW w:w="7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5"/>
        <w:gridCol w:w="3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1" w:hRule="atLeast"/>
          <w:jc w:val="center"/>
        </w:trPr>
        <w:tc>
          <w:tcPr>
            <w:tcW w:w="3785" w:type="dxa"/>
            <w:vAlign w:val="center"/>
          </w:tcPr>
          <w:p>
            <w:pPr>
              <w:spacing w:line="440" w:lineRule="exact"/>
              <w:jc w:val="center"/>
              <w:rPr>
                <w:color w:val="000000"/>
              </w:rPr>
            </w:pPr>
            <w:r>
              <w:rPr>
                <w:rFonts w:hint="eastAsia"/>
                <w:color w:val="000000"/>
              </w:rPr>
              <w:t>法定代表人身份证</w:t>
            </w:r>
          </w:p>
          <w:p>
            <w:pPr>
              <w:spacing w:line="440" w:lineRule="exact"/>
              <w:jc w:val="center"/>
              <w:rPr>
                <w:color w:val="000000"/>
              </w:rPr>
            </w:pPr>
            <w:r>
              <w:rPr>
                <w:rFonts w:hint="eastAsia"/>
                <w:color w:val="000000"/>
              </w:rPr>
              <w:t>正面复印件</w:t>
            </w:r>
          </w:p>
        </w:tc>
        <w:tc>
          <w:tcPr>
            <w:tcW w:w="3800" w:type="dxa"/>
            <w:vAlign w:val="center"/>
          </w:tcPr>
          <w:p>
            <w:pPr>
              <w:spacing w:line="440" w:lineRule="exact"/>
              <w:jc w:val="center"/>
              <w:rPr>
                <w:color w:val="000000"/>
              </w:rPr>
            </w:pPr>
            <w:r>
              <w:rPr>
                <w:rFonts w:hint="eastAsia"/>
                <w:color w:val="000000"/>
              </w:rPr>
              <w:t>法定代表人身份证</w:t>
            </w:r>
          </w:p>
          <w:p>
            <w:pPr>
              <w:spacing w:line="440" w:lineRule="exact"/>
              <w:jc w:val="center"/>
              <w:rPr>
                <w:color w:val="000000"/>
              </w:rPr>
            </w:pPr>
            <w:r>
              <w:rPr>
                <w:rFonts w:hint="eastAsia"/>
                <w:color w:val="000000"/>
              </w:rPr>
              <w:t>反面复印件</w:t>
            </w:r>
          </w:p>
        </w:tc>
      </w:tr>
    </w:tbl>
    <w:p>
      <w:pPr>
        <w:autoSpaceDE w:val="0"/>
        <w:autoSpaceDN w:val="0"/>
        <w:spacing w:line="300" w:lineRule="auto"/>
        <w:ind w:left="480" w:hanging="480"/>
        <w:rPr>
          <w:rFonts w:ascii="宋体" w:hAnsi="宋体"/>
          <w:sz w:val="24"/>
        </w:rPr>
      </w:pPr>
    </w:p>
    <w:p>
      <w:pPr>
        <w:pStyle w:val="4"/>
        <w:rPr>
          <w:rFonts w:ascii="宋体" w:hAnsi="宋体" w:eastAsia="宋体"/>
          <w:b w:val="0"/>
          <w:sz w:val="24"/>
        </w:rPr>
      </w:pPr>
      <w:r>
        <w:rPr>
          <w:rFonts w:hint="eastAsia" w:ascii="宋体" w:hAnsi="宋体" w:eastAsia="宋体"/>
          <w:sz w:val="24"/>
        </w:rPr>
        <w:t>注：本证明书应随身携带！</w:t>
      </w:r>
    </w:p>
    <w:p>
      <w:pPr>
        <w:rPr>
          <w:rFonts w:hint="eastAsia" w:ascii="宋体" w:hAnsi="宋体" w:eastAsia="宋体" w:cs="Corbel"/>
          <w:sz w:val="36"/>
          <w:szCs w:val="36"/>
        </w:rPr>
      </w:pPr>
      <w:r>
        <w:rPr>
          <w:rFonts w:hint="eastAsia" w:ascii="宋体" w:hAnsi="宋体" w:eastAsia="宋体"/>
          <w:sz w:val="24"/>
        </w:rPr>
        <w:br w:type="page"/>
      </w:r>
      <w:bookmarkStart w:id="12" w:name="_Toc329859065"/>
      <w:bookmarkStart w:id="13" w:name="_Toc465347033"/>
    </w:p>
    <w:p>
      <w:pPr>
        <w:pStyle w:val="4"/>
        <w:rPr>
          <w:rFonts w:ascii="宋体" w:hAnsi="宋体" w:eastAsia="宋体" w:cs="Corbel"/>
          <w:sz w:val="36"/>
          <w:szCs w:val="36"/>
        </w:rPr>
      </w:pPr>
      <w:r>
        <w:rPr>
          <w:rFonts w:hint="eastAsia" w:ascii="宋体" w:hAnsi="宋体" w:eastAsia="宋体" w:cs="Corbel"/>
          <w:sz w:val="36"/>
          <w:szCs w:val="36"/>
        </w:rPr>
        <w:t>附件</w:t>
      </w:r>
      <w:r>
        <w:rPr>
          <w:rFonts w:hint="eastAsia" w:ascii="宋体" w:hAnsi="宋体" w:eastAsia="宋体" w:cs="Corbel"/>
          <w:sz w:val="36"/>
          <w:szCs w:val="36"/>
          <w:lang w:eastAsia="zh-CN"/>
        </w:rPr>
        <w:t>五</w:t>
      </w:r>
      <w:r>
        <w:rPr>
          <w:rFonts w:hint="eastAsia" w:ascii="宋体" w:hAnsi="宋体" w:eastAsia="宋体" w:cs="Corbel"/>
          <w:sz w:val="36"/>
          <w:szCs w:val="36"/>
        </w:rPr>
        <w:t>：</w:t>
      </w:r>
      <w:bookmarkEnd w:id="12"/>
      <w:bookmarkEnd w:id="13"/>
      <w:r>
        <w:rPr>
          <w:rFonts w:hint="eastAsia" w:ascii="宋体" w:hAnsi="宋体" w:eastAsia="宋体" w:cs="Corbel"/>
          <w:sz w:val="36"/>
          <w:szCs w:val="36"/>
        </w:rPr>
        <w:t>资格性审查和符合性检查对照表</w:t>
      </w:r>
    </w:p>
    <w:p>
      <w:pPr>
        <w:adjustRightInd w:val="0"/>
        <w:snapToGrid w:val="0"/>
        <w:spacing w:line="360" w:lineRule="auto"/>
        <w:rPr>
          <w:rFonts w:ascii="宋体" w:hAnsi="宋体"/>
          <w:b/>
          <w:sz w:val="24"/>
        </w:rPr>
      </w:pPr>
      <w:r>
        <w:rPr>
          <w:rFonts w:hint="eastAsia" w:ascii="宋体" w:hAnsi="宋体"/>
          <w:b/>
          <w:sz w:val="24"/>
        </w:rPr>
        <w:t xml:space="preserve">投标人名称（公章）：                 </w:t>
      </w:r>
    </w:p>
    <w:p>
      <w:pPr>
        <w:spacing w:line="360" w:lineRule="auto"/>
        <w:rPr>
          <w:rFonts w:ascii="宋体" w:hAnsi="宋体" w:cs="仿宋_GB2312"/>
          <w:sz w:val="24"/>
        </w:rPr>
      </w:pPr>
      <w:r>
        <w:rPr>
          <w:rFonts w:hint="eastAsia" w:ascii="宋体" w:hAnsi="宋体"/>
          <w:b/>
          <w:sz w:val="24"/>
        </w:rPr>
        <w:t xml:space="preserve">项目编号：                      </w:t>
      </w:r>
    </w:p>
    <w:tbl>
      <w:tblPr>
        <w:tblStyle w:val="23"/>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635"/>
        <w:gridCol w:w="2634"/>
        <w:gridCol w:w="1542"/>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trPr>
        <w:tc>
          <w:tcPr>
            <w:tcW w:w="707" w:type="dxa"/>
            <w:vAlign w:val="center"/>
          </w:tcPr>
          <w:p>
            <w:pPr>
              <w:spacing w:line="560" w:lineRule="exact"/>
              <w:rPr>
                <w:rFonts w:ascii="宋体" w:hAnsi="宋体" w:cs="仿宋_GB2312"/>
                <w:sz w:val="24"/>
              </w:rPr>
            </w:pPr>
            <w:r>
              <w:rPr>
                <w:rFonts w:hint="eastAsia" w:ascii="宋体" w:hAnsi="宋体" w:cs="仿宋_GB2312"/>
                <w:b/>
                <w:sz w:val="24"/>
              </w:rPr>
              <w:t>序号</w:t>
            </w:r>
          </w:p>
        </w:tc>
        <w:tc>
          <w:tcPr>
            <w:tcW w:w="2635" w:type="dxa"/>
            <w:vAlign w:val="center"/>
          </w:tcPr>
          <w:p>
            <w:pPr>
              <w:spacing w:line="560" w:lineRule="exact"/>
              <w:jc w:val="center"/>
              <w:rPr>
                <w:rFonts w:ascii="宋体" w:hAnsi="宋体" w:cs="仿宋_GB2312"/>
                <w:b/>
                <w:sz w:val="24"/>
              </w:rPr>
            </w:pPr>
            <w:r>
              <w:rPr>
                <w:rFonts w:hint="eastAsia" w:ascii="宋体" w:hAnsi="宋体" w:cs="仿宋_GB2312"/>
                <w:b/>
                <w:sz w:val="24"/>
              </w:rPr>
              <w:t>招标文件</w:t>
            </w:r>
          </w:p>
          <w:p>
            <w:pPr>
              <w:spacing w:line="560" w:lineRule="exact"/>
              <w:jc w:val="center"/>
              <w:rPr>
                <w:rFonts w:ascii="宋体" w:hAnsi="宋体" w:cs="仿宋_GB2312"/>
                <w:sz w:val="24"/>
              </w:rPr>
            </w:pPr>
            <w:r>
              <w:rPr>
                <w:rFonts w:hint="eastAsia" w:ascii="宋体" w:hAnsi="宋体" w:cs="Corbel"/>
                <w:b/>
                <w:sz w:val="24"/>
              </w:rPr>
              <w:t>资格性审查和符合性检查条款</w:t>
            </w:r>
          </w:p>
        </w:tc>
        <w:tc>
          <w:tcPr>
            <w:tcW w:w="2634" w:type="dxa"/>
            <w:vAlign w:val="center"/>
          </w:tcPr>
          <w:p>
            <w:pPr>
              <w:spacing w:line="560" w:lineRule="exact"/>
              <w:jc w:val="center"/>
              <w:rPr>
                <w:rFonts w:ascii="宋体" w:hAnsi="宋体" w:cs="仿宋_GB2312"/>
                <w:sz w:val="24"/>
              </w:rPr>
            </w:pPr>
            <w:r>
              <w:rPr>
                <w:rFonts w:hint="eastAsia" w:ascii="宋体" w:hAnsi="宋体" w:cs="仿宋_GB2312"/>
                <w:b/>
                <w:sz w:val="24"/>
              </w:rPr>
              <w:t>投标文件响应部分</w:t>
            </w:r>
          </w:p>
        </w:tc>
        <w:tc>
          <w:tcPr>
            <w:tcW w:w="1542" w:type="dxa"/>
            <w:vAlign w:val="center"/>
          </w:tcPr>
          <w:p>
            <w:pPr>
              <w:spacing w:line="560" w:lineRule="exact"/>
              <w:jc w:val="center"/>
              <w:rPr>
                <w:rFonts w:ascii="宋体" w:hAnsi="宋体" w:cs="仿宋_GB2312"/>
                <w:sz w:val="24"/>
              </w:rPr>
            </w:pPr>
            <w:r>
              <w:rPr>
                <w:rFonts w:hint="eastAsia" w:ascii="宋体" w:hAnsi="宋体" w:cs="仿宋_GB2312"/>
                <w:b/>
                <w:sz w:val="24"/>
              </w:rPr>
              <w:t>偏离说明</w:t>
            </w:r>
          </w:p>
        </w:tc>
        <w:tc>
          <w:tcPr>
            <w:tcW w:w="1542" w:type="dxa"/>
            <w:vAlign w:val="center"/>
          </w:tcPr>
          <w:p>
            <w:pPr>
              <w:spacing w:line="560" w:lineRule="exact"/>
              <w:jc w:val="center"/>
              <w:rPr>
                <w:rFonts w:ascii="宋体" w:hAnsi="宋体" w:cs="仿宋_GB2312"/>
                <w:sz w:val="24"/>
              </w:rPr>
            </w:pPr>
            <w:r>
              <w:rPr>
                <w:rFonts w:hint="eastAsia" w:ascii="宋体" w:hAnsi="宋体" w:cs="仿宋_GB2312"/>
                <w:b/>
                <w:sz w:val="24"/>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1</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2</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3</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4</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5</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6</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7</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8</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b/>
                <w:bCs/>
                <w:sz w:val="24"/>
              </w:rPr>
              <w:t>9</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trPr>
        <w:tc>
          <w:tcPr>
            <w:tcW w:w="707" w:type="dxa"/>
            <w:vAlign w:val="center"/>
          </w:tcPr>
          <w:p>
            <w:pPr>
              <w:spacing w:line="560" w:lineRule="exact"/>
              <w:jc w:val="center"/>
              <w:rPr>
                <w:rFonts w:ascii="宋体" w:hAnsi="宋体" w:cs="仿宋_GB2312"/>
                <w:sz w:val="24"/>
              </w:rPr>
            </w:pPr>
            <w:r>
              <w:rPr>
                <w:rFonts w:hint="eastAsia" w:ascii="宋体" w:hAnsi="宋体" w:cs="仿宋_GB2312"/>
                <w:sz w:val="24"/>
              </w:rPr>
              <w:t>…</w:t>
            </w:r>
          </w:p>
        </w:tc>
        <w:tc>
          <w:tcPr>
            <w:tcW w:w="2635" w:type="dxa"/>
            <w:vAlign w:val="center"/>
          </w:tcPr>
          <w:p>
            <w:pPr>
              <w:spacing w:line="560" w:lineRule="exact"/>
              <w:jc w:val="center"/>
              <w:rPr>
                <w:rFonts w:ascii="宋体" w:hAnsi="宋体" w:cs="仿宋_GB2312"/>
                <w:sz w:val="24"/>
              </w:rPr>
            </w:pPr>
          </w:p>
        </w:tc>
        <w:tc>
          <w:tcPr>
            <w:tcW w:w="2634"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c>
          <w:tcPr>
            <w:tcW w:w="1542" w:type="dxa"/>
            <w:vAlign w:val="center"/>
          </w:tcPr>
          <w:p>
            <w:pPr>
              <w:spacing w:line="560" w:lineRule="exact"/>
              <w:jc w:val="center"/>
              <w:rPr>
                <w:rFonts w:ascii="宋体" w:hAnsi="宋体" w:cs="仿宋_GB2312"/>
                <w:sz w:val="24"/>
              </w:rPr>
            </w:pPr>
          </w:p>
        </w:tc>
      </w:tr>
    </w:tbl>
    <w:p>
      <w:pPr>
        <w:adjustRightInd w:val="0"/>
        <w:snapToGrid w:val="0"/>
        <w:spacing w:line="400" w:lineRule="exact"/>
        <w:ind w:left="720" w:hanging="720" w:hangingChars="300"/>
        <w:rPr>
          <w:rFonts w:ascii="宋体" w:hAnsi="宋体" w:cs="Corbel"/>
          <w:sz w:val="24"/>
        </w:rPr>
      </w:pPr>
      <w:r>
        <w:rPr>
          <w:rFonts w:hint="eastAsia" w:ascii="宋体" w:hAnsi="宋体" w:cs="Corbel"/>
          <w:sz w:val="24"/>
        </w:rPr>
        <w:t>注：1.投标人须对照招标文件第四章“评标方法、步骤及标准”中“资格性检查”的条款逐项说明是否满足要求，如有偏离,投标人必须详细说明。未按照要求详细完整填写此表，或仅注明“符合”、“满足”的，将可能被</w:t>
      </w:r>
      <w:r>
        <w:rPr>
          <w:rFonts w:hint="eastAsia" w:ascii="宋体" w:hAnsi="宋体"/>
          <w:b/>
          <w:sz w:val="24"/>
        </w:rPr>
        <w:t>按照无效投标处理。</w:t>
      </w:r>
    </w:p>
    <w:p>
      <w:pPr>
        <w:adjustRightInd w:val="0"/>
        <w:snapToGrid w:val="0"/>
        <w:spacing w:line="400" w:lineRule="exact"/>
        <w:ind w:firstLine="480" w:firstLineChars="200"/>
        <w:rPr>
          <w:rFonts w:ascii="宋体" w:hAnsi="宋体" w:cs="Corbel"/>
          <w:sz w:val="24"/>
        </w:rPr>
      </w:pPr>
      <w:r>
        <w:rPr>
          <w:rFonts w:hint="eastAsia" w:ascii="宋体" w:hAnsi="宋体" w:cs="Corbel"/>
          <w:sz w:val="24"/>
        </w:rPr>
        <w:t>2.投标人须提供投标内容响应资料在投标文件中的具体页码。</w:t>
      </w:r>
    </w:p>
    <w:p>
      <w:pPr>
        <w:adjustRightInd w:val="0"/>
        <w:snapToGrid w:val="0"/>
        <w:spacing w:line="400" w:lineRule="exact"/>
        <w:ind w:left="480" w:hanging="480" w:hangingChars="200"/>
        <w:rPr>
          <w:rFonts w:ascii="宋体" w:hAnsi="宋体" w:cs="Corbel"/>
          <w:sz w:val="24"/>
        </w:rPr>
      </w:pPr>
    </w:p>
    <w:p>
      <w:pPr>
        <w:pStyle w:val="14"/>
        <w:spacing w:line="400" w:lineRule="exact"/>
        <w:ind w:firstLine="5520" w:firstLineChars="2300"/>
        <w:rPr>
          <w:rFonts w:hAnsi="宋体"/>
          <w:sz w:val="24"/>
        </w:rPr>
      </w:pPr>
      <w:r>
        <w:rPr>
          <w:rFonts w:hint="eastAsia" w:hAnsi="宋体"/>
          <w:sz w:val="24"/>
        </w:rPr>
        <w:t>投标人授权代表（签字）：</w:t>
      </w:r>
    </w:p>
    <w:p>
      <w:pPr>
        <w:pStyle w:val="14"/>
        <w:spacing w:line="400" w:lineRule="exact"/>
        <w:ind w:firstLine="5520" w:firstLineChars="2300"/>
        <w:rPr>
          <w:rFonts w:hAnsi="宋体"/>
          <w:sz w:val="24"/>
        </w:rPr>
      </w:pPr>
      <w:r>
        <w:rPr>
          <w:rFonts w:hint="eastAsia" w:hAnsi="宋体"/>
          <w:sz w:val="24"/>
        </w:rPr>
        <w:t>投标人（加盖公章）：</w:t>
      </w:r>
    </w:p>
    <w:p>
      <w:pPr>
        <w:pStyle w:val="14"/>
        <w:spacing w:line="400" w:lineRule="exact"/>
        <w:ind w:firstLine="5520" w:firstLineChars="2300"/>
        <w:rPr>
          <w:rFonts w:hAnsi="宋体"/>
          <w:sz w:val="24"/>
        </w:rPr>
      </w:pPr>
    </w:p>
    <w:p>
      <w:pPr>
        <w:pStyle w:val="14"/>
        <w:spacing w:line="560" w:lineRule="exact"/>
        <w:rPr>
          <w:rFonts w:hAnsi="宋体" w:eastAsia="宋体"/>
          <w:b/>
          <w:bCs/>
          <w:sz w:val="36"/>
          <w:szCs w:val="36"/>
        </w:rPr>
      </w:pPr>
      <w:r>
        <w:rPr>
          <w:rFonts w:hint="eastAsia" w:hAnsi="宋体" w:eastAsia="宋体"/>
          <w:b/>
          <w:bCs/>
          <w:sz w:val="36"/>
          <w:szCs w:val="36"/>
        </w:rPr>
        <w:t>附件</w:t>
      </w:r>
      <w:r>
        <w:rPr>
          <w:rFonts w:hint="eastAsia" w:hAnsi="宋体" w:eastAsia="宋体"/>
          <w:b/>
          <w:bCs/>
          <w:sz w:val="36"/>
          <w:szCs w:val="36"/>
          <w:lang w:eastAsia="zh-CN"/>
        </w:rPr>
        <w:t>六</w:t>
      </w:r>
      <w:r>
        <w:rPr>
          <w:rFonts w:hint="eastAsia" w:hAnsi="宋体" w:eastAsia="宋体"/>
          <w:b/>
          <w:bCs/>
          <w:sz w:val="36"/>
          <w:szCs w:val="36"/>
        </w:rPr>
        <w:t>：参加本次政府采购活动前3年内没有重大违法记录声明</w:t>
      </w:r>
    </w:p>
    <w:p>
      <w:pPr>
        <w:pStyle w:val="14"/>
        <w:spacing w:line="560" w:lineRule="exact"/>
        <w:rPr>
          <w:rFonts w:hAnsi="宋体" w:eastAsia="宋体"/>
          <w:sz w:val="36"/>
          <w:szCs w:val="36"/>
        </w:rPr>
      </w:pPr>
    </w:p>
    <w:p>
      <w:pPr>
        <w:pStyle w:val="14"/>
        <w:spacing w:line="560" w:lineRule="exact"/>
        <w:rPr>
          <w:rFonts w:asciiTheme="minorEastAsia" w:hAnsiTheme="minorEastAsia" w:cstheme="minorEastAsia"/>
          <w:sz w:val="36"/>
          <w:szCs w:val="36"/>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政府采购活动没有重大违法记录声明</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我单位现声明：在参加公开招标（项目名称）（项目编号）前三年内在经营活动中没有重大违法记录，如声明有不实情况，依法接受相应的处罚。</w:t>
      </w:r>
    </w:p>
    <w:p>
      <w:pPr>
        <w:jc w:val="right"/>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投标人法人签字（签章）：</w:t>
      </w:r>
    </w:p>
    <w:p>
      <w:pPr>
        <w:pStyle w:val="14"/>
        <w:spacing w:line="56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ind w:firstLine="4800" w:firstLineChars="1500"/>
        <w:rPr>
          <w:rFonts w:ascii="仿宋_GB2312" w:hAnsi="仿宋_GB2312" w:eastAsia="仿宋_GB2312" w:cs="仿宋_GB2312"/>
          <w:sz w:val="32"/>
          <w:szCs w:val="32"/>
        </w:rPr>
      </w:pPr>
    </w:p>
    <w:p>
      <w:pPr>
        <w:pStyle w:val="14"/>
        <w:spacing w:line="560" w:lineRule="exact"/>
        <w:rPr>
          <w:rFonts w:ascii="仿宋_GB2312" w:hAnsi="仿宋_GB2312" w:eastAsia="仿宋_GB2312" w:cs="仿宋_GB2312"/>
          <w:b/>
          <w:bCs/>
          <w:sz w:val="32"/>
          <w:szCs w:val="32"/>
        </w:rPr>
      </w:pPr>
      <w:r>
        <w:rPr>
          <w:rFonts w:hint="eastAsia" w:hAnsi="宋体" w:eastAsia="宋体"/>
          <w:b/>
          <w:bCs/>
          <w:sz w:val="36"/>
          <w:szCs w:val="36"/>
        </w:rPr>
        <w:t>附件</w:t>
      </w:r>
      <w:r>
        <w:rPr>
          <w:rFonts w:hint="eastAsia" w:hAnsi="宋体" w:eastAsia="宋体"/>
          <w:b/>
          <w:bCs/>
          <w:sz w:val="36"/>
          <w:szCs w:val="36"/>
          <w:lang w:eastAsia="zh-CN"/>
        </w:rPr>
        <w:t>七</w:t>
      </w:r>
      <w:r>
        <w:rPr>
          <w:rFonts w:hint="eastAsia" w:hAnsi="宋体" w:eastAsia="宋体"/>
          <w:b/>
          <w:bCs/>
          <w:sz w:val="36"/>
          <w:szCs w:val="36"/>
        </w:rPr>
        <w:t>：其他证明资料</w:t>
      </w: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rPr>
          <w:rFonts w:hint="eastAsia" w:ascii="宋体" w:hAnsi="宋体" w:eastAsia="宋体" w:cs="宋体"/>
          <w:b/>
          <w:bCs/>
          <w:kern w:val="2"/>
          <w:sz w:val="36"/>
          <w:szCs w:val="36"/>
          <w:lang w:val="en-US" w:eastAsia="zh-CN" w:bidi="ar-SA"/>
        </w:rPr>
      </w:pPr>
      <w:r>
        <w:rPr>
          <w:rFonts w:hint="eastAsia" w:ascii="宋体" w:hAnsi="宋体" w:eastAsia="宋体" w:cs="宋体"/>
          <w:b/>
          <w:bCs/>
          <w:kern w:val="2"/>
          <w:sz w:val="36"/>
          <w:szCs w:val="36"/>
          <w:lang w:val="en-US" w:eastAsia="zh-CN" w:bidi="ar-SA"/>
        </w:rPr>
        <w:t>附件八</w:t>
      </w:r>
    </w:p>
    <w:p>
      <w:pPr>
        <w:jc w:val="center"/>
        <w:rPr>
          <w:rFonts w:hint="eastAsia"/>
          <w:sz w:val="32"/>
          <w:szCs w:val="32"/>
        </w:rPr>
      </w:pPr>
    </w:p>
    <w:p>
      <w:pPr>
        <w:jc w:val="center"/>
        <w:rPr>
          <w:sz w:val="32"/>
          <w:szCs w:val="32"/>
        </w:rPr>
      </w:pPr>
      <w:r>
        <w:rPr>
          <w:rFonts w:hint="eastAsia"/>
          <w:sz w:val="32"/>
          <w:szCs w:val="32"/>
        </w:rPr>
        <w:t>中小企业声明函</w:t>
      </w:r>
    </w:p>
    <w:p>
      <w:pPr>
        <w:rPr>
          <w:sz w:val="32"/>
          <w:szCs w:val="32"/>
        </w:rPr>
      </w:pPr>
      <w:r>
        <w:rPr>
          <w:rFonts w:hint="eastAsia"/>
          <w:sz w:val="32"/>
          <w:szCs w:val="32"/>
        </w:rPr>
        <w:t>　　</w:t>
      </w:r>
    </w:p>
    <w:p>
      <w:pPr>
        <w:spacing w:line="360" w:lineRule="auto"/>
        <w:ind w:firstLine="480" w:firstLineChars="200"/>
        <w:rPr>
          <w:rFonts w:ascii="宋体" w:hAnsi="宋体"/>
          <w:sz w:val="24"/>
        </w:rPr>
      </w:pPr>
      <w:r>
        <w:rPr>
          <w:rFonts w:hint="eastAsia" w:ascii="宋体" w:hAnsi="宋体"/>
          <w:sz w:val="24"/>
        </w:rPr>
        <w:t>本公司郑重声明，根据《政府采购促进中小企业发展暂行办法》（财库〔2011〕181号）的规定，本公司为______（请填写：中型、小型、微型）企业。即，本公司同时满足以下条件：</w:t>
      </w:r>
      <w:r>
        <w:rPr>
          <w:rFonts w:hint="eastAsia" w:ascii="宋体" w:hAnsi="宋体"/>
          <w:sz w:val="24"/>
        </w:rPr>
        <w:br w:type="textWrapping"/>
      </w:r>
      <w:r>
        <w:rPr>
          <w:rFonts w:hint="eastAsia" w:ascii="宋体" w:hAnsi="宋体"/>
          <w:sz w:val="24"/>
        </w:rPr>
        <w:t>　　1. 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sz w:val="24"/>
        </w:rPr>
        <w:br w:type="textWrapping"/>
      </w:r>
      <w:r>
        <w:rPr>
          <w:rFonts w:hint="eastAsia" w:ascii="宋体" w:hAnsi="宋体"/>
          <w:sz w:val="24"/>
        </w:rPr>
        <w:t>　　2. 本公司参加____单位的____项目（项目编号：</w:t>
      </w:r>
      <w:r>
        <w:rPr>
          <w:rFonts w:hint="eastAsia" w:ascii="宋体" w:hAnsi="宋体"/>
          <w:sz w:val="24"/>
          <w:u w:val="single"/>
        </w:rPr>
        <w:t xml:space="preserve">   </w:t>
      </w:r>
      <w:r>
        <w:rPr>
          <w:rFonts w:hint="eastAsia" w:ascii="宋体" w:hAnsi="宋体"/>
          <w:sz w:val="24"/>
        </w:rPr>
        <w:t>）采购活动提供本企业制造的货物，由本企业承担工程、提供服务，或者提供其他______（请填写：中型、小型、微型）企业制造的货物。本条所称货物不包括使用大型企业注册商标的货物。</w:t>
      </w:r>
      <w:r>
        <w:rPr>
          <w:rFonts w:hint="eastAsia" w:ascii="宋体" w:hAnsi="宋体"/>
          <w:sz w:val="24"/>
        </w:rPr>
        <w:br w:type="textWrapping"/>
      </w:r>
      <w:r>
        <w:rPr>
          <w:rFonts w:hint="eastAsia" w:ascii="宋体" w:hAnsi="宋体"/>
          <w:sz w:val="24"/>
        </w:rPr>
        <w:t>　　本公司对上述声明的真实性负责。如有虚假，将依法承担相应责任。</w:t>
      </w:r>
      <w:r>
        <w:rPr>
          <w:rFonts w:hint="eastAsia" w:ascii="宋体" w:hAnsi="宋体"/>
          <w:sz w:val="24"/>
        </w:rPr>
        <w:br w:type="textWrapping"/>
      </w:r>
      <w:r>
        <w:rPr>
          <w:rFonts w:hint="eastAsia" w:ascii="宋体" w:hAnsi="宋体"/>
          <w:sz w:val="24"/>
        </w:rPr>
        <w:t>　　</w:t>
      </w:r>
    </w:p>
    <w:p>
      <w:pPr>
        <w:spacing w:line="360" w:lineRule="auto"/>
        <w:ind w:firstLine="480" w:firstLineChars="200"/>
        <w:rPr>
          <w:rFonts w:ascii="宋体" w:hAnsi="宋体"/>
          <w:sz w:val="24"/>
        </w:rPr>
      </w:pPr>
      <w:r>
        <w:rPr>
          <w:rFonts w:hint="eastAsia" w:ascii="宋体" w:hAnsi="宋体"/>
          <w:sz w:val="24"/>
        </w:rPr>
        <w:t>企业名称（盖章）：</w:t>
      </w:r>
    </w:p>
    <w:p>
      <w:pPr>
        <w:spacing w:line="440" w:lineRule="exact"/>
        <w:ind w:firstLine="480" w:firstLineChars="200"/>
        <w:rPr>
          <w:rFonts w:ascii="宋体" w:hAnsi="宋体"/>
          <w:sz w:val="24"/>
        </w:rPr>
        <w:sectPr>
          <w:pgSz w:w="11906" w:h="16838"/>
          <w:pgMar w:top="1440" w:right="1418" w:bottom="1440" w:left="1701" w:header="851" w:footer="992" w:gutter="0"/>
          <w:pgNumType w:fmt="decimal"/>
          <w:cols w:space="720" w:num="1"/>
          <w:titlePg/>
          <w:docGrid w:linePitch="312" w:charSpace="0"/>
        </w:sectPr>
      </w:pPr>
      <w:r>
        <w:rPr>
          <w:rFonts w:hint="eastAsia" w:ascii="宋体" w:hAnsi="宋体"/>
          <w:sz w:val="24"/>
        </w:rPr>
        <w:t>企业法人（负责人）签字（签章）：</w:t>
      </w:r>
      <w:r>
        <w:rPr>
          <w:rFonts w:hint="eastAsia" w:ascii="宋体" w:hAnsi="宋体"/>
          <w:sz w:val="24"/>
        </w:rPr>
        <w:br w:type="textWrapping"/>
      </w:r>
      <w:r>
        <w:rPr>
          <w:rFonts w:hint="eastAsia" w:ascii="宋体" w:hAnsi="宋体"/>
          <w:sz w:val="24"/>
        </w:rPr>
        <w:t>　　日</w:t>
      </w:r>
      <w:r>
        <w:rPr>
          <w:rFonts w:hint="eastAsia" w:ascii="宋体" w:hAnsi="宋体" w:cs="宋体"/>
          <w:sz w:val="24"/>
        </w:rPr>
        <w:t> </w:t>
      </w:r>
      <w:r>
        <w:rPr>
          <w:rFonts w:hint="eastAsia" w:ascii="宋体" w:hAnsi="宋体"/>
          <w:sz w:val="24"/>
        </w:rPr>
        <w:t xml:space="preserve"> </w:t>
      </w:r>
      <w:r>
        <w:rPr>
          <w:rFonts w:hint="eastAsia" w:ascii="宋体" w:hAnsi="宋体" w:cs="宋体"/>
          <w:sz w:val="24"/>
        </w:rPr>
        <w:t> </w:t>
      </w:r>
      <w:r>
        <w:rPr>
          <w:rFonts w:hint="eastAsia" w:ascii="宋体" w:hAnsi="宋体"/>
          <w:sz w:val="24"/>
        </w:rPr>
        <w:t>期：</w:t>
      </w:r>
    </w:p>
    <w:p>
      <w:pPr>
        <w:jc w:val="center"/>
        <w:rPr>
          <w:rFonts w:ascii="宋体" w:hAnsi="宋体" w:cs="宋体"/>
          <w:kern w:val="0"/>
          <w:sz w:val="36"/>
          <w:szCs w:val="36"/>
        </w:rPr>
      </w:pPr>
      <w:r>
        <w:rPr>
          <w:rFonts w:hint="eastAsia" w:ascii="宋体" w:hAnsi="宋体" w:cs="宋体"/>
          <w:kern w:val="0"/>
          <w:sz w:val="36"/>
          <w:szCs w:val="36"/>
        </w:rPr>
        <w:t>中小企业划型标准</w:t>
      </w:r>
    </w:p>
    <w:tbl>
      <w:tblPr>
        <w:tblStyle w:val="23"/>
        <w:tblW w:w="14174" w:type="dxa"/>
        <w:tblInd w:w="0" w:type="dxa"/>
        <w:tblLayout w:type="fixed"/>
        <w:tblCellMar>
          <w:top w:w="0" w:type="dxa"/>
          <w:left w:w="108" w:type="dxa"/>
          <w:bottom w:w="0" w:type="dxa"/>
          <w:right w:w="108" w:type="dxa"/>
        </w:tblCellMar>
      </w:tblPr>
      <w:tblGrid>
        <w:gridCol w:w="426"/>
        <w:gridCol w:w="1387"/>
        <w:gridCol w:w="924"/>
        <w:gridCol w:w="916"/>
        <w:gridCol w:w="1083"/>
        <w:gridCol w:w="989"/>
        <w:gridCol w:w="904"/>
        <w:gridCol w:w="1100"/>
        <w:gridCol w:w="1057"/>
        <w:gridCol w:w="955"/>
        <w:gridCol w:w="1162"/>
        <w:gridCol w:w="1057"/>
        <w:gridCol w:w="1193"/>
        <w:gridCol w:w="1021"/>
      </w:tblGrid>
      <w:tr>
        <w:tblPrEx>
          <w:tblCellMar>
            <w:top w:w="0" w:type="dxa"/>
            <w:left w:w="108" w:type="dxa"/>
            <w:bottom w:w="0" w:type="dxa"/>
            <w:right w:w="108" w:type="dxa"/>
          </w:tblCellMar>
        </w:tblPrEx>
        <w:trPr>
          <w:trHeight w:val="416" w:hRule="atLeast"/>
          <w:tblHeader/>
        </w:trPr>
        <w:tc>
          <w:tcPr>
            <w:tcW w:w="426" w:type="dxa"/>
            <w:vMerge w:val="restart"/>
            <w:tcBorders>
              <w:top w:val="single" w:color="auto" w:sz="4" w:space="0"/>
              <w:left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序号</w:t>
            </w:r>
          </w:p>
        </w:tc>
        <w:tc>
          <w:tcPr>
            <w:tcW w:w="1387" w:type="dxa"/>
            <w:vMerge w:val="restart"/>
            <w:tcBorders>
              <w:top w:val="single" w:color="auto" w:sz="4" w:space="0"/>
              <w:left w:val="nil"/>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行业</w:t>
            </w:r>
          </w:p>
        </w:tc>
        <w:tc>
          <w:tcPr>
            <w:tcW w:w="2923" w:type="dxa"/>
            <w:gridSpan w:val="3"/>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大型企业</w:t>
            </w:r>
          </w:p>
        </w:tc>
        <w:tc>
          <w:tcPr>
            <w:tcW w:w="2993" w:type="dxa"/>
            <w:gridSpan w:val="3"/>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中型企业</w:t>
            </w:r>
          </w:p>
        </w:tc>
        <w:tc>
          <w:tcPr>
            <w:tcW w:w="3174" w:type="dxa"/>
            <w:gridSpan w:val="3"/>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小型企业</w:t>
            </w:r>
          </w:p>
        </w:tc>
        <w:tc>
          <w:tcPr>
            <w:tcW w:w="3271" w:type="dxa"/>
            <w:gridSpan w:val="3"/>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微型企业</w:t>
            </w:r>
          </w:p>
        </w:tc>
      </w:tr>
      <w:tr>
        <w:tblPrEx>
          <w:tblCellMar>
            <w:top w:w="0" w:type="dxa"/>
            <w:left w:w="108" w:type="dxa"/>
            <w:bottom w:w="0" w:type="dxa"/>
            <w:right w:w="108" w:type="dxa"/>
          </w:tblCellMar>
        </w:tblPrEx>
        <w:trPr>
          <w:trHeight w:val="226" w:hRule="atLeast"/>
          <w:tblHeader/>
        </w:trPr>
        <w:tc>
          <w:tcPr>
            <w:tcW w:w="426" w:type="dxa"/>
            <w:vMerge w:val="continue"/>
            <w:tcBorders>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p>
        </w:tc>
        <w:tc>
          <w:tcPr>
            <w:tcW w:w="1387" w:type="dxa"/>
            <w:vMerge w:val="continue"/>
            <w:tcBorders>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(人)</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(人)</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955" w:type="dxa"/>
            <w:tcBorders>
              <w:top w:val="nil"/>
              <w:left w:val="nil"/>
              <w:bottom w:val="single" w:color="auto" w:sz="4" w:space="0"/>
              <w:right w:val="single" w:color="auto" w:sz="4" w:space="0"/>
            </w:tcBorders>
            <w:vAlign w:val="center"/>
          </w:tcPr>
          <w:p>
            <w:pPr>
              <w:widowControl/>
              <w:spacing w:line="240" w:lineRule="atLeast"/>
              <w:ind w:left="81" w:leftChars="-40" w:right="-57" w:rightChars="-27" w:hanging="165" w:hangingChars="79"/>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(人)</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营业收入</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从业人员</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(人)</w:t>
            </w:r>
          </w:p>
        </w:tc>
        <w:tc>
          <w:tcPr>
            <w:tcW w:w="1021"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总资产</w:t>
            </w:r>
          </w:p>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(万元)</w:t>
            </w:r>
          </w:p>
        </w:tc>
      </w:tr>
      <w:tr>
        <w:tblPrEx>
          <w:tblCellMar>
            <w:top w:w="0" w:type="dxa"/>
            <w:left w:w="108" w:type="dxa"/>
            <w:bottom w:w="0" w:type="dxa"/>
            <w:right w:w="108" w:type="dxa"/>
          </w:tblCellMar>
        </w:tblPrEx>
        <w:trPr>
          <w:trHeight w:val="64" w:hRule="atLeast"/>
        </w:trPr>
        <w:tc>
          <w:tcPr>
            <w:tcW w:w="426"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w:t>
            </w:r>
          </w:p>
        </w:tc>
        <w:tc>
          <w:tcPr>
            <w:tcW w:w="1387" w:type="dxa"/>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农、林、牧、渔业</w:t>
            </w:r>
          </w:p>
        </w:tc>
        <w:tc>
          <w:tcPr>
            <w:tcW w:w="924" w:type="dxa"/>
            <w:tcBorders>
              <w:top w:val="single" w:color="auto" w:sz="4" w:space="0"/>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w:t>
            </w:r>
          </w:p>
        </w:tc>
        <w:tc>
          <w:tcPr>
            <w:tcW w:w="1193"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工业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≥40000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建筑业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≥80000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≥80000</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4</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批发业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≥40000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零售业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6</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交通运输业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7</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仓储业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8</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邮政业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9</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住宿业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餐饮业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11</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信息传输业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12</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软件和信息技术服务业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13</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183" w:rightChars="-87"/>
              <w:jc w:val="left"/>
              <w:rPr>
                <w:rFonts w:ascii="宋体" w:hAnsi="宋体" w:cs="宋体"/>
                <w:kern w:val="0"/>
                <w:sz w:val="21"/>
                <w:szCs w:val="21"/>
              </w:rPr>
            </w:pPr>
            <w:r>
              <w:rPr>
                <w:rFonts w:hint="eastAsia" w:ascii="宋体" w:hAnsi="宋体" w:cs="宋体"/>
                <w:kern w:val="0"/>
                <w:sz w:val="21"/>
                <w:szCs w:val="21"/>
              </w:rPr>
              <w:t>房地产开发经验</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≥200000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或,≥10000</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且,≥5000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且,≥2000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21" w:type="dxa"/>
            <w:tcBorders>
              <w:top w:val="nil"/>
              <w:left w:val="nil"/>
              <w:bottom w:val="single" w:color="auto" w:sz="4" w:space="0"/>
              <w:right w:val="single" w:color="auto" w:sz="4" w:space="0"/>
            </w:tcBorders>
            <w:vAlign w:val="center"/>
          </w:tcPr>
          <w:p>
            <w:pPr>
              <w:widowControl/>
              <w:spacing w:line="240" w:lineRule="atLeast"/>
              <w:ind w:left="27" w:leftChars="-40" w:right="-57" w:rightChars="-27" w:hanging="111" w:hangingChars="53"/>
              <w:jc w:val="center"/>
              <w:rPr>
                <w:rFonts w:ascii="宋体" w:hAnsi="宋体" w:cs="宋体"/>
                <w:kern w:val="0"/>
                <w:sz w:val="21"/>
                <w:szCs w:val="21"/>
              </w:rPr>
            </w:pPr>
            <w:r>
              <w:rPr>
                <w:rFonts w:hint="eastAsia" w:ascii="宋体" w:hAnsi="宋体" w:cs="宋体"/>
                <w:kern w:val="0"/>
                <w:sz w:val="21"/>
                <w:szCs w:val="21"/>
              </w:rPr>
              <w:t>或,＜2000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14</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物业管理</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≥5000</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≥1000</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＜500</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15</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left"/>
              <w:rPr>
                <w:rFonts w:ascii="宋体" w:hAnsi="宋体" w:cs="宋体"/>
                <w:kern w:val="0"/>
                <w:sz w:val="21"/>
                <w:szCs w:val="21"/>
              </w:rPr>
            </w:pPr>
            <w:r>
              <w:rPr>
                <w:rFonts w:hint="eastAsia" w:ascii="宋体" w:hAnsi="宋体" w:cs="宋体"/>
                <w:kern w:val="0"/>
                <w:sz w:val="21"/>
                <w:szCs w:val="21"/>
              </w:rPr>
              <w:t>租赁和商务服务业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或,≥120000</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且,≥8000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且,≥100</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或,＜100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16</w:t>
            </w:r>
          </w:p>
        </w:tc>
        <w:tc>
          <w:tcPr>
            <w:tcW w:w="1387" w:type="dxa"/>
            <w:tcBorders>
              <w:top w:val="nil"/>
              <w:left w:val="nil"/>
              <w:bottom w:val="single" w:color="auto" w:sz="4" w:space="0"/>
              <w:right w:val="single" w:color="auto" w:sz="4" w:space="0"/>
            </w:tcBorders>
            <w:vAlign w:val="center"/>
          </w:tcPr>
          <w:p>
            <w:pPr>
              <w:widowControl/>
              <w:spacing w:line="240" w:lineRule="atLeast"/>
              <w:ind w:left="-84" w:leftChars="-40" w:right="-183" w:rightChars="-87"/>
              <w:jc w:val="left"/>
              <w:rPr>
                <w:rFonts w:ascii="宋体" w:hAnsi="宋体" w:cs="宋体"/>
                <w:kern w:val="0"/>
                <w:sz w:val="21"/>
                <w:szCs w:val="21"/>
              </w:rPr>
            </w:pPr>
            <w:r>
              <w:rPr>
                <w:rFonts w:hint="eastAsia" w:ascii="宋体" w:hAnsi="宋体" w:cs="宋体"/>
                <w:kern w:val="0"/>
                <w:sz w:val="21"/>
                <w:szCs w:val="21"/>
              </w:rPr>
              <w:t>其他未列明行业</w:t>
            </w:r>
          </w:p>
        </w:tc>
        <w:tc>
          <w:tcPr>
            <w:tcW w:w="92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16"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≥300</w:t>
            </w:r>
          </w:p>
        </w:tc>
        <w:tc>
          <w:tcPr>
            <w:tcW w:w="108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89"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04"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≥100</w:t>
            </w:r>
          </w:p>
        </w:tc>
        <w:tc>
          <w:tcPr>
            <w:tcW w:w="1100"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955"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162"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057"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c>
          <w:tcPr>
            <w:tcW w:w="1193" w:type="dxa"/>
            <w:tcBorders>
              <w:top w:val="nil"/>
              <w:left w:val="nil"/>
              <w:bottom w:val="single" w:color="auto" w:sz="4" w:space="0"/>
              <w:right w:val="single" w:color="auto" w:sz="4" w:space="0"/>
            </w:tcBorders>
            <w:vAlign w:val="center"/>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＜10</w:t>
            </w:r>
          </w:p>
        </w:tc>
        <w:tc>
          <w:tcPr>
            <w:tcW w:w="1021" w:type="dxa"/>
            <w:tcBorders>
              <w:top w:val="nil"/>
              <w:left w:val="nil"/>
              <w:bottom w:val="single" w:color="auto" w:sz="4" w:space="0"/>
              <w:right w:val="single" w:color="auto" w:sz="4" w:space="0"/>
            </w:tcBorders>
            <w:vAlign w:val="bottom"/>
          </w:tcPr>
          <w:p>
            <w:pPr>
              <w:widowControl/>
              <w:spacing w:line="240" w:lineRule="atLeast"/>
              <w:ind w:left="-84" w:leftChars="-40" w:right="-57" w:rightChars="-27"/>
              <w:jc w:val="center"/>
              <w:rPr>
                <w:rFonts w:ascii="宋体" w:hAnsi="宋体" w:cs="宋体"/>
                <w:kern w:val="0"/>
                <w:sz w:val="21"/>
                <w:szCs w:val="21"/>
              </w:rPr>
            </w:pPr>
            <w:r>
              <w:rPr>
                <w:rFonts w:hint="eastAsia" w:ascii="宋体" w:hAnsi="宋体" w:cs="宋体"/>
                <w:kern w:val="0"/>
                <w:sz w:val="21"/>
                <w:szCs w:val="21"/>
              </w:rPr>
              <w:t>　</w:t>
            </w:r>
          </w:p>
        </w:tc>
      </w:tr>
    </w:tbl>
    <w:p>
      <w:pPr>
        <w:rPr>
          <w:rFonts w:hint="eastAsia" w:ascii="宋体" w:hAnsi="宋体"/>
          <w:sz w:val="24"/>
        </w:rPr>
      </w:pPr>
      <w:r>
        <w:rPr>
          <w:rFonts w:hint="eastAsia" w:ascii="宋体" w:hAnsi="宋体"/>
          <w:sz w:val="24"/>
        </w:rPr>
        <w:t xml:space="preserve">                                                                      </w:t>
      </w:r>
    </w:p>
    <w:p>
      <w:pPr>
        <w:rPr>
          <w:rFonts w:ascii="宋体" w:hAnsi="宋体"/>
          <w:sz w:val="24"/>
        </w:rPr>
        <w:sectPr>
          <w:pgSz w:w="16838" w:h="11906" w:orient="landscape"/>
          <w:pgMar w:top="1701" w:right="1440" w:bottom="1418" w:left="1440" w:header="851" w:footer="992" w:gutter="0"/>
          <w:pgNumType w:fmt="decimal"/>
          <w:cols w:space="720" w:num="1"/>
          <w:titlePg/>
          <w:docGrid w:linePitch="312" w:charSpace="0"/>
        </w:sectPr>
      </w:pPr>
    </w:p>
    <w:p>
      <w:pPr>
        <w:spacing w:line="588" w:lineRule="exact"/>
        <w:ind w:firstLine="667"/>
        <w:jc w:val="center"/>
        <w:rPr>
          <w:rFonts w:ascii="宋体" w:hAnsi="宋体"/>
          <w:b/>
          <w:spacing w:val="6"/>
          <w:sz w:val="32"/>
          <w:szCs w:val="32"/>
        </w:rPr>
      </w:pPr>
      <w:bookmarkStart w:id="14" w:name="OLE_LINK13"/>
      <w:bookmarkStart w:id="15" w:name="OLE_LINK14"/>
      <w:r>
        <w:rPr>
          <w:rFonts w:ascii="宋体" w:hAnsi="宋体"/>
          <w:b/>
          <w:spacing w:val="6"/>
          <w:sz w:val="32"/>
          <w:szCs w:val="32"/>
        </w:rPr>
        <w:t>残疾人福利性单位声明函</w:t>
      </w:r>
    </w:p>
    <w:bookmarkEnd w:id="14"/>
    <w:bookmarkEnd w:id="15"/>
    <w:p>
      <w:pPr>
        <w:spacing w:line="588" w:lineRule="exact"/>
        <w:ind w:firstLine="626"/>
        <w:rPr>
          <w:rFonts w:eastAsia="仿宋_GB2312"/>
          <w:b/>
          <w:spacing w:val="6"/>
          <w:sz w:val="30"/>
          <w:szCs w:val="30"/>
        </w:rPr>
      </w:pPr>
    </w:p>
    <w:p>
      <w:pPr>
        <w:spacing w:line="588" w:lineRule="exact"/>
        <w:ind w:firstLine="624"/>
        <w:rPr>
          <w:rFonts w:eastAsia="仿宋_GB2312"/>
          <w:spacing w:val="6"/>
          <w:sz w:val="30"/>
          <w:szCs w:val="30"/>
        </w:rPr>
      </w:pPr>
      <w:r>
        <w:rPr>
          <w:rFonts w:eastAsia="仿宋_GB2312"/>
          <w:spacing w:val="6"/>
          <w:sz w:val="30"/>
          <w:szCs w:val="30"/>
        </w:rPr>
        <w:t>本单位郑重声明，根据《财政部 民政部 中国残疾人联合会关于促进残疾人就业政府采购政策的通知》（财库</w:t>
      </w:r>
      <w:r>
        <w:rPr>
          <w:rFonts w:eastAsia="仿宋_GB2312"/>
          <w:sz w:val="32"/>
          <w:szCs w:val="32"/>
        </w:rPr>
        <w:t>〔2017〕 141</w:t>
      </w:r>
      <w:r>
        <w:rPr>
          <w:rFonts w:eastAsia="仿宋_GB2312"/>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rPr>
          <w:rFonts w:eastAsia="仿宋_GB2312"/>
          <w:spacing w:val="6"/>
          <w:sz w:val="30"/>
          <w:szCs w:val="30"/>
        </w:rPr>
      </w:pPr>
      <w:r>
        <w:rPr>
          <w:rFonts w:eastAsia="仿宋_GB2312"/>
          <w:spacing w:val="6"/>
          <w:sz w:val="30"/>
          <w:szCs w:val="30"/>
        </w:rPr>
        <w:t>本单位对上述声明的真实性负责。如有虚假，将依法承担相应责任。</w:t>
      </w:r>
    </w:p>
    <w:p>
      <w:pPr>
        <w:spacing w:line="588" w:lineRule="exact"/>
        <w:ind w:firstLine="624"/>
        <w:rPr>
          <w:rFonts w:eastAsia="仿宋_GB2312"/>
          <w:spacing w:val="6"/>
          <w:sz w:val="30"/>
          <w:szCs w:val="30"/>
        </w:rPr>
      </w:pPr>
    </w:p>
    <w:p>
      <w:pPr>
        <w:spacing w:line="588" w:lineRule="exact"/>
        <w:ind w:firstLine="624"/>
        <w:rPr>
          <w:rFonts w:eastAsia="仿宋_GB2312"/>
          <w:spacing w:val="6"/>
          <w:sz w:val="30"/>
          <w:szCs w:val="30"/>
        </w:rPr>
      </w:pPr>
    </w:p>
    <w:p>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 xml:space="preserve">               单位名称（盖章）：</w:t>
      </w:r>
    </w:p>
    <w:p>
      <w:pPr>
        <w:tabs>
          <w:tab w:val="left" w:pos="4860"/>
        </w:tabs>
        <w:spacing w:line="588" w:lineRule="exact"/>
        <w:ind w:right="1560" w:firstLine="624"/>
        <w:jc w:val="center"/>
        <w:rPr>
          <w:rFonts w:eastAsia="仿宋_GB2312"/>
          <w:spacing w:val="6"/>
          <w:sz w:val="30"/>
          <w:szCs w:val="30"/>
        </w:rPr>
      </w:pPr>
      <w:r>
        <w:rPr>
          <w:rFonts w:eastAsia="仿宋_GB2312"/>
          <w:spacing w:val="6"/>
          <w:sz w:val="30"/>
          <w:szCs w:val="30"/>
        </w:rPr>
        <w:t xml:space="preserve">       日  期：</w:t>
      </w:r>
    </w:p>
    <w:p>
      <w:pPr>
        <w:widowControl/>
        <w:jc w:val="left"/>
        <w:rPr>
          <w:rFonts w:ascii="宋体" w:hAnsi="宋体"/>
          <w:bCs/>
          <w:color w:val="000000"/>
          <w:sz w:val="32"/>
          <w:szCs w:val="32"/>
        </w:rPr>
      </w:pPr>
      <w:r>
        <w:rPr>
          <w:rFonts w:ascii="宋体" w:hAnsi="宋体"/>
          <w:bCs/>
          <w:color w:val="000000"/>
          <w:sz w:val="32"/>
          <w:szCs w:val="32"/>
        </w:rPr>
        <w:br w:type="page"/>
      </w:r>
    </w:p>
    <w:p>
      <w:pPr>
        <w:tabs>
          <w:tab w:val="left" w:pos="7665"/>
        </w:tabs>
        <w:jc w:val="center"/>
        <w:outlineLvl w:val="1"/>
        <w:rPr>
          <w:rFonts w:ascii="宋体" w:hAnsi="宋体"/>
          <w:bCs/>
          <w:color w:val="000000"/>
          <w:sz w:val="32"/>
          <w:szCs w:val="32"/>
        </w:rPr>
      </w:pPr>
      <w:r>
        <w:rPr>
          <w:rFonts w:hint="eastAsia" w:ascii="宋体" w:hAnsi="宋体"/>
          <w:bCs/>
          <w:color w:val="000000"/>
          <w:sz w:val="32"/>
          <w:szCs w:val="32"/>
        </w:rPr>
        <w:t>省级以上监狱管理局、戒毒管理局（含新疆生产建设兵团）出具的属于监狱企业的证明文件</w:t>
      </w:r>
      <w:r>
        <w:rPr>
          <w:rFonts w:hint="eastAsia" w:ascii="宋体" w:hAnsi="宋体"/>
          <w:bCs/>
          <w:color w:val="000000"/>
          <w:sz w:val="32"/>
          <w:szCs w:val="32"/>
        </w:rPr>
        <w:br w:type="textWrapping"/>
      </w:r>
      <w:r>
        <w:rPr>
          <w:rFonts w:ascii="宋体" w:hAnsi="宋体"/>
          <w:bCs/>
          <w:color w:val="000000"/>
          <w:sz w:val="32"/>
          <w:szCs w:val="32"/>
        </w:rPr>
        <w:br w:type="textWrapping"/>
      </w:r>
    </w:p>
    <w:p>
      <w:pPr>
        <w:pStyle w:val="14"/>
        <w:spacing w:line="560" w:lineRule="exact"/>
        <w:rPr>
          <w:rFonts w:ascii="仿宋_GB2312" w:hAnsi="仿宋_GB2312" w:eastAsia="仿宋_GB2312" w:cs="仿宋_GB2312"/>
          <w:sz w:val="32"/>
          <w:szCs w:val="32"/>
        </w:rPr>
      </w:pPr>
    </w:p>
    <w:sectPr>
      <w:footerReference r:id="rId6" w:type="default"/>
      <w:pgSz w:w="11906" w:h="16838"/>
      <w:pgMar w:top="1701" w:right="1701" w:bottom="1701"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 w:name="汉仪大宋简">
    <w:altName w:val="宋体"/>
    <w:panose1 w:val="02010609000101010101"/>
    <w:charset w:val="86"/>
    <w:family w:val="auto"/>
    <w:pitch w:val="default"/>
    <w:sig w:usb0="00000000" w:usb1="00000000" w:usb2="00000002" w:usb3="00000000" w:csb0="00040000" w:csb1="00000000"/>
  </w:font>
  <w:font w:name="文鼎CS大宋">
    <w:altName w:val="宋体"/>
    <w:panose1 w:val="00000000000000000000"/>
    <w:charset w:val="00"/>
    <w:family w:val="auto"/>
    <w:pitch w:val="default"/>
    <w:sig w:usb0="00000000" w:usb1="00000000" w:usb2="00000000" w:usb3="00000000" w:csb0="00000000" w:csb1="00000000"/>
  </w:font>
  <w:font w:name="文鼎CS楷体">
    <w:altName w:val="宋体"/>
    <w:panose1 w:val="00000000000000000000"/>
    <w:charset w:val="00"/>
    <w:family w:val="auto"/>
    <w:pitch w:val="default"/>
    <w:sig w:usb0="00000000" w:usb1="00000000" w:usb2="00000000" w:usb3="00000000" w:csb0="00040001" w:csb1="00000000"/>
  </w:font>
  <w:font w:name="Corbel">
    <w:panose1 w:val="020B0503020204020204"/>
    <w:charset w:val="00"/>
    <w:family w:val="swiss"/>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Style w:val="27"/>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6"/>
      <w:ind w:right="360"/>
      <w:rPr>
        <w:rFonts w:hint="eastAsia"/>
      </w:rPr>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F3D7F6"/>
    <w:multiLevelType w:val="multilevel"/>
    <w:tmpl w:val="BEF3D7F6"/>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8EEAC28"/>
    <w:multiLevelType w:val="singleLevel"/>
    <w:tmpl w:val="C8EEAC28"/>
    <w:lvl w:ilvl="0" w:tentative="0">
      <w:start w:val="1"/>
      <w:numFmt w:val="chineseCounting"/>
      <w:suff w:val="nothing"/>
      <w:lvlText w:val="%1、"/>
      <w:lvlJc w:val="left"/>
      <w:rPr>
        <w:rFonts w:hint="eastAsia"/>
      </w:rPr>
    </w:lvl>
  </w:abstractNum>
  <w:abstractNum w:abstractNumId="2">
    <w:nsid w:val="E2D674F7"/>
    <w:multiLevelType w:val="singleLevel"/>
    <w:tmpl w:val="E2D674F7"/>
    <w:lvl w:ilvl="0" w:tentative="0">
      <w:start w:val="2"/>
      <w:numFmt w:val="decimal"/>
      <w:suff w:val="nothing"/>
      <w:lvlText w:val="%1．"/>
      <w:lvlJc w:val="left"/>
    </w:lvl>
  </w:abstractNum>
  <w:abstractNum w:abstractNumId="3">
    <w:nsid w:val="0000001F"/>
    <w:multiLevelType w:val="multilevel"/>
    <w:tmpl w:val="0000001F"/>
    <w:lvl w:ilvl="0" w:tentative="0">
      <w:start w:val="1"/>
      <w:numFmt w:val="bullet"/>
      <w:lvlText w:val=""/>
      <w:lvlJc w:val="left"/>
      <w:pPr>
        <w:ind w:left="900" w:hanging="420"/>
      </w:pPr>
      <w:rPr>
        <w:rFonts w:hint="default" w:ascii="Wingdings" w:hAnsi="Wingdings"/>
      </w:rPr>
    </w:lvl>
    <w:lvl w:ilvl="1" w:tentative="0">
      <w:start w:val="1"/>
      <w:numFmt w:val="bullet"/>
      <w:pStyle w:val="13"/>
      <w:lvlText w:val=""/>
      <w:lvlJc w:val="left"/>
      <w:pPr>
        <w:ind w:left="1320" w:hanging="420"/>
      </w:pPr>
      <w:rPr>
        <w:rFonts w:hint="default" w:ascii="Wingdings" w:hAnsi="Wingdings"/>
      </w:rPr>
    </w:lvl>
    <w:lvl w:ilvl="2" w:tentative="0">
      <w:start w:val="1"/>
      <w:numFmt w:val="bullet"/>
      <w:pStyle w:val="12"/>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038000C8"/>
    <w:multiLevelType w:val="multilevel"/>
    <w:tmpl w:val="038000C8"/>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FC2F84"/>
    <w:multiLevelType w:val="multilevel"/>
    <w:tmpl w:val="18FC2F8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42856A6"/>
    <w:multiLevelType w:val="multilevel"/>
    <w:tmpl w:val="242856A6"/>
    <w:lvl w:ilvl="0" w:tentative="0">
      <w:start w:val="1"/>
      <w:numFmt w:val="decimal"/>
      <w:lvlText w:val="%1、"/>
      <w:lvlJc w:val="left"/>
      <w:pPr>
        <w:ind w:left="360" w:hanging="360"/>
      </w:pPr>
      <w:rPr>
        <w:rFonts w:ascii="仿宋" w:hAnsi="仿宋" w:eastAsia="仿宋" w:cs="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4CD4272"/>
    <w:multiLevelType w:val="singleLevel"/>
    <w:tmpl w:val="34CD4272"/>
    <w:lvl w:ilvl="0" w:tentative="0">
      <w:start w:val="1"/>
      <w:numFmt w:val="decimal"/>
      <w:suff w:val="nothing"/>
      <w:lvlText w:val="%1、"/>
      <w:lvlJc w:val="left"/>
    </w:lvl>
  </w:abstractNum>
  <w:abstractNum w:abstractNumId="8">
    <w:nsid w:val="590FBE8B"/>
    <w:multiLevelType w:val="singleLevel"/>
    <w:tmpl w:val="590FBE8B"/>
    <w:lvl w:ilvl="0" w:tentative="0">
      <w:start w:val="4"/>
      <w:numFmt w:val="chineseCounting"/>
      <w:suff w:val="nothing"/>
      <w:lvlText w:val="%1、"/>
      <w:lvlJc w:val="left"/>
    </w:lvl>
  </w:abstractNum>
  <w:abstractNum w:abstractNumId="9">
    <w:nsid w:val="5944F2C2"/>
    <w:multiLevelType w:val="multilevel"/>
    <w:tmpl w:val="5944F2C2"/>
    <w:lvl w:ilvl="0" w:tentative="0">
      <w:start w:val="1"/>
      <w:numFmt w:val="decimal"/>
      <w:pStyle w:val="37"/>
      <w:isLgl/>
      <w:lvlText w:val="%1."/>
      <w:lvlJc w:val="left"/>
      <w:pPr>
        <w:ind w:left="425" w:hanging="425"/>
      </w:pPr>
      <w:rPr>
        <w:rFonts w:hint="default" w:ascii="宋体" w:hAnsi="宋体" w:eastAsia="宋体" w:cs="宋体"/>
      </w:rPr>
    </w:lvl>
    <w:lvl w:ilvl="1" w:tentative="0">
      <w:start w:val="1"/>
      <w:numFmt w:val="decimal"/>
      <w:pStyle w:val="38"/>
      <w:isLgl/>
      <w:lvlText w:val="%1.%2."/>
      <w:lvlJc w:val="left"/>
      <w:pPr>
        <w:ind w:left="567" w:hanging="567"/>
      </w:pPr>
      <w:rPr>
        <w:rFonts w:hint="default" w:ascii="宋体" w:hAnsi="宋体" w:eastAsia="宋体" w:cs="宋体"/>
      </w:rPr>
    </w:lvl>
    <w:lvl w:ilvl="2" w:tentative="0">
      <w:start w:val="1"/>
      <w:numFmt w:val="decimal"/>
      <w:isLgl/>
      <w:lvlText w:val="%1.%2.%3."/>
      <w:lvlJc w:val="left"/>
      <w:pPr>
        <w:ind w:left="709" w:hanging="709"/>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0">
    <w:nsid w:val="5C197EE2"/>
    <w:multiLevelType w:val="multilevel"/>
    <w:tmpl w:val="5C197E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F598740"/>
    <w:multiLevelType w:val="singleLevel"/>
    <w:tmpl w:val="5F598740"/>
    <w:lvl w:ilvl="0" w:tentative="0">
      <w:start w:val="1"/>
      <w:numFmt w:val="decimal"/>
      <w:suff w:val="nothing"/>
      <w:lvlText w:val="%1、"/>
      <w:lvlJc w:val="left"/>
    </w:lvl>
  </w:abstractNum>
  <w:abstractNum w:abstractNumId="12">
    <w:nsid w:val="5F5987A9"/>
    <w:multiLevelType w:val="singleLevel"/>
    <w:tmpl w:val="5F5987A9"/>
    <w:lvl w:ilvl="0" w:tentative="0">
      <w:start w:val="1"/>
      <w:numFmt w:val="decimal"/>
      <w:suff w:val="nothing"/>
      <w:lvlText w:val="%1、"/>
      <w:lvlJc w:val="left"/>
    </w:lvl>
  </w:abstractNum>
  <w:abstractNum w:abstractNumId="13">
    <w:nsid w:val="5F598840"/>
    <w:multiLevelType w:val="singleLevel"/>
    <w:tmpl w:val="5F598840"/>
    <w:lvl w:ilvl="0" w:tentative="0">
      <w:start w:val="1"/>
      <w:numFmt w:val="decimal"/>
      <w:suff w:val="nothing"/>
      <w:lvlText w:val="%1、"/>
      <w:lvlJc w:val="left"/>
    </w:lvl>
  </w:abstractNum>
  <w:abstractNum w:abstractNumId="14">
    <w:nsid w:val="5F598865"/>
    <w:multiLevelType w:val="singleLevel"/>
    <w:tmpl w:val="5F598865"/>
    <w:lvl w:ilvl="0" w:tentative="0">
      <w:start w:val="1"/>
      <w:numFmt w:val="decimal"/>
      <w:suff w:val="nothing"/>
      <w:lvlText w:val="%1、"/>
      <w:lvlJc w:val="left"/>
    </w:lvl>
  </w:abstractNum>
  <w:abstractNum w:abstractNumId="15">
    <w:nsid w:val="5F598882"/>
    <w:multiLevelType w:val="singleLevel"/>
    <w:tmpl w:val="5F598882"/>
    <w:lvl w:ilvl="0" w:tentative="0">
      <w:start w:val="1"/>
      <w:numFmt w:val="decimal"/>
      <w:suff w:val="nothing"/>
      <w:lvlText w:val="%1、"/>
      <w:lvlJc w:val="left"/>
    </w:lvl>
  </w:abstractNum>
  <w:abstractNum w:abstractNumId="16">
    <w:nsid w:val="5F59EC25"/>
    <w:multiLevelType w:val="singleLevel"/>
    <w:tmpl w:val="5F59EC25"/>
    <w:lvl w:ilvl="0" w:tentative="0">
      <w:start w:val="1"/>
      <w:numFmt w:val="decimal"/>
      <w:suff w:val="nothing"/>
      <w:lvlText w:val="%1、"/>
      <w:lvlJc w:val="left"/>
    </w:lvl>
  </w:abstractNum>
  <w:abstractNum w:abstractNumId="17">
    <w:nsid w:val="5F59EC76"/>
    <w:multiLevelType w:val="singleLevel"/>
    <w:tmpl w:val="5F59EC76"/>
    <w:lvl w:ilvl="0" w:tentative="0">
      <w:start w:val="1"/>
      <w:numFmt w:val="decimal"/>
      <w:suff w:val="nothing"/>
      <w:lvlText w:val="%1、"/>
      <w:lvlJc w:val="left"/>
    </w:lvl>
  </w:abstractNum>
  <w:abstractNum w:abstractNumId="18">
    <w:nsid w:val="5FFEF043"/>
    <w:multiLevelType w:val="multilevel"/>
    <w:tmpl w:val="5FFEF043"/>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9"/>
  </w:num>
  <w:num w:numId="4">
    <w:abstractNumId w:val="1"/>
  </w:num>
  <w:num w:numId="5">
    <w:abstractNumId w:val="7"/>
  </w:num>
  <w:num w:numId="6">
    <w:abstractNumId w:val="8"/>
  </w:num>
  <w:num w:numId="7">
    <w:abstractNumId w:val="10"/>
  </w:num>
  <w:num w:numId="8">
    <w:abstractNumId w:val="6"/>
  </w:num>
  <w:num w:numId="9">
    <w:abstractNumId w:val="5"/>
  </w:num>
  <w:num w:numId="10">
    <w:abstractNumId w:val="11"/>
  </w:num>
  <w:num w:numId="11">
    <w:abstractNumId w:val="16"/>
  </w:num>
  <w:num w:numId="12">
    <w:abstractNumId w:val="12"/>
  </w:num>
  <w:num w:numId="13">
    <w:abstractNumId w:val="17"/>
  </w:num>
  <w:num w:numId="14">
    <w:abstractNumId w:val="13"/>
  </w:num>
  <w:num w:numId="15">
    <w:abstractNumId w:val="14"/>
  </w:num>
  <w:num w:numId="16">
    <w:abstractNumId w:val="15"/>
  </w:num>
  <w:num w:numId="17">
    <w:abstractNumId w:val="4"/>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6530F"/>
    <w:rsid w:val="0009542E"/>
    <w:rsid w:val="00225C1F"/>
    <w:rsid w:val="002765AA"/>
    <w:rsid w:val="002C7C33"/>
    <w:rsid w:val="003C723E"/>
    <w:rsid w:val="0052343B"/>
    <w:rsid w:val="0086403A"/>
    <w:rsid w:val="00975360"/>
    <w:rsid w:val="00A871D4"/>
    <w:rsid w:val="00B822D0"/>
    <w:rsid w:val="00B86884"/>
    <w:rsid w:val="00D33B12"/>
    <w:rsid w:val="00D512E7"/>
    <w:rsid w:val="00DE29DA"/>
    <w:rsid w:val="00EE28BF"/>
    <w:rsid w:val="0240654C"/>
    <w:rsid w:val="02472916"/>
    <w:rsid w:val="03047EAF"/>
    <w:rsid w:val="0322232B"/>
    <w:rsid w:val="03897689"/>
    <w:rsid w:val="04D47AA2"/>
    <w:rsid w:val="04D74A04"/>
    <w:rsid w:val="05445505"/>
    <w:rsid w:val="0571196A"/>
    <w:rsid w:val="057839A8"/>
    <w:rsid w:val="057F2BCC"/>
    <w:rsid w:val="05AD56AD"/>
    <w:rsid w:val="06AC18CA"/>
    <w:rsid w:val="06F5475A"/>
    <w:rsid w:val="071814DE"/>
    <w:rsid w:val="07830E6F"/>
    <w:rsid w:val="07CF051C"/>
    <w:rsid w:val="08985FBB"/>
    <w:rsid w:val="0A444CB9"/>
    <w:rsid w:val="0A590B89"/>
    <w:rsid w:val="0A6B6CD2"/>
    <w:rsid w:val="0AC31A80"/>
    <w:rsid w:val="0AE85D1D"/>
    <w:rsid w:val="0BB301F1"/>
    <w:rsid w:val="0BDA4D4F"/>
    <w:rsid w:val="0BF64D3B"/>
    <w:rsid w:val="0CB835B6"/>
    <w:rsid w:val="0D1656B6"/>
    <w:rsid w:val="0D434718"/>
    <w:rsid w:val="0D9A4F60"/>
    <w:rsid w:val="0DCB5C28"/>
    <w:rsid w:val="0E431712"/>
    <w:rsid w:val="0EC763C3"/>
    <w:rsid w:val="0F542A0F"/>
    <w:rsid w:val="0FD52439"/>
    <w:rsid w:val="103F3E07"/>
    <w:rsid w:val="105D6203"/>
    <w:rsid w:val="10EE79AF"/>
    <w:rsid w:val="11470D79"/>
    <w:rsid w:val="11702B51"/>
    <w:rsid w:val="11871949"/>
    <w:rsid w:val="12845508"/>
    <w:rsid w:val="12F5336F"/>
    <w:rsid w:val="134A197E"/>
    <w:rsid w:val="13C54D53"/>
    <w:rsid w:val="13D41EC3"/>
    <w:rsid w:val="14BA0DF1"/>
    <w:rsid w:val="16D26A2B"/>
    <w:rsid w:val="16F87BDC"/>
    <w:rsid w:val="16FB650A"/>
    <w:rsid w:val="17535C18"/>
    <w:rsid w:val="17A50589"/>
    <w:rsid w:val="17BE5EB5"/>
    <w:rsid w:val="17E9596E"/>
    <w:rsid w:val="17E96F0C"/>
    <w:rsid w:val="17EE2BFE"/>
    <w:rsid w:val="180151C4"/>
    <w:rsid w:val="180D16E9"/>
    <w:rsid w:val="18511C5E"/>
    <w:rsid w:val="197C1AA9"/>
    <w:rsid w:val="197E4926"/>
    <w:rsid w:val="1A2C5533"/>
    <w:rsid w:val="1A582028"/>
    <w:rsid w:val="1A5B6460"/>
    <w:rsid w:val="1A695129"/>
    <w:rsid w:val="1BA46198"/>
    <w:rsid w:val="1BFA6138"/>
    <w:rsid w:val="1C184D83"/>
    <w:rsid w:val="1C191AF7"/>
    <w:rsid w:val="1C2D1209"/>
    <w:rsid w:val="1CFF0A6D"/>
    <w:rsid w:val="1D280B50"/>
    <w:rsid w:val="1D642775"/>
    <w:rsid w:val="1D6563B3"/>
    <w:rsid w:val="1D695B54"/>
    <w:rsid w:val="1D7D47CC"/>
    <w:rsid w:val="1DE53036"/>
    <w:rsid w:val="1E272F87"/>
    <w:rsid w:val="1F077BCD"/>
    <w:rsid w:val="1F6D5711"/>
    <w:rsid w:val="1F876F2F"/>
    <w:rsid w:val="1FC926F6"/>
    <w:rsid w:val="1FCA4FBF"/>
    <w:rsid w:val="20397C65"/>
    <w:rsid w:val="2061775D"/>
    <w:rsid w:val="20D52684"/>
    <w:rsid w:val="22217C8A"/>
    <w:rsid w:val="22652549"/>
    <w:rsid w:val="22851C25"/>
    <w:rsid w:val="22FF3FAD"/>
    <w:rsid w:val="234D542F"/>
    <w:rsid w:val="234F1575"/>
    <w:rsid w:val="237B6815"/>
    <w:rsid w:val="23B0024B"/>
    <w:rsid w:val="243E24CE"/>
    <w:rsid w:val="24BC176C"/>
    <w:rsid w:val="24D14BD6"/>
    <w:rsid w:val="24E15684"/>
    <w:rsid w:val="252A1465"/>
    <w:rsid w:val="25546DEB"/>
    <w:rsid w:val="263248FF"/>
    <w:rsid w:val="263F549D"/>
    <w:rsid w:val="26A40ED5"/>
    <w:rsid w:val="26D71DE0"/>
    <w:rsid w:val="27033C6A"/>
    <w:rsid w:val="28CF044B"/>
    <w:rsid w:val="29622C4B"/>
    <w:rsid w:val="29DB7512"/>
    <w:rsid w:val="29DE4CB9"/>
    <w:rsid w:val="2A454AC8"/>
    <w:rsid w:val="2A83094E"/>
    <w:rsid w:val="2A92263A"/>
    <w:rsid w:val="2A9B62B4"/>
    <w:rsid w:val="2ABC7A9A"/>
    <w:rsid w:val="2AF47EF8"/>
    <w:rsid w:val="2BA9466B"/>
    <w:rsid w:val="2BAA698D"/>
    <w:rsid w:val="2BE070B6"/>
    <w:rsid w:val="2BEB0DF4"/>
    <w:rsid w:val="2C656D44"/>
    <w:rsid w:val="2CF933FD"/>
    <w:rsid w:val="2D407ADC"/>
    <w:rsid w:val="2D8A0911"/>
    <w:rsid w:val="2D93192D"/>
    <w:rsid w:val="2DA31298"/>
    <w:rsid w:val="2DEF371F"/>
    <w:rsid w:val="2E1771DC"/>
    <w:rsid w:val="2E545173"/>
    <w:rsid w:val="2F4922ED"/>
    <w:rsid w:val="2FAF7C07"/>
    <w:rsid w:val="2FC9287F"/>
    <w:rsid w:val="30581AD0"/>
    <w:rsid w:val="31194A35"/>
    <w:rsid w:val="318E750C"/>
    <w:rsid w:val="32384EF5"/>
    <w:rsid w:val="32817EE4"/>
    <w:rsid w:val="328B67EF"/>
    <w:rsid w:val="329B1DAA"/>
    <w:rsid w:val="32B65677"/>
    <w:rsid w:val="334336FE"/>
    <w:rsid w:val="34297C17"/>
    <w:rsid w:val="34721CFD"/>
    <w:rsid w:val="34940DF0"/>
    <w:rsid w:val="35913933"/>
    <w:rsid w:val="35921069"/>
    <w:rsid w:val="35977C3D"/>
    <w:rsid w:val="35CA719C"/>
    <w:rsid w:val="36D42198"/>
    <w:rsid w:val="36F10165"/>
    <w:rsid w:val="37226711"/>
    <w:rsid w:val="38001C83"/>
    <w:rsid w:val="38884DDF"/>
    <w:rsid w:val="39653A46"/>
    <w:rsid w:val="39AC4E65"/>
    <w:rsid w:val="3A105B18"/>
    <w:rsid w:val="3AA40B8E"/>
    <w:rsid w:val="3AB27F98"/>
    <w:rsid w:val="3AE64DD7"/>
    <w:rsid w:val="3B0D2DF4"/>
    <w:rsid w:val="3B94603C"/>
    <w:rsid w:val="3BF1610D"/>
    <w:rsid w:val="3CBD1574"/>
    <w:rsid w:val="3CC60375"/>
    <w:rsid w:val="3D351F8E"/>
    <w:rsid w:val="3D744BBF"/>
    <w:rsid w:val="3DBD363A"/>
    <w:rsid w:val="3E1845F2"/>
    <w:rsid w:val="3E735B16"/>
    <w:rsid w:val="3F6101E5"/>
    <w:rsid w:val="3F734C84"/>
    <w:rsid w:val="3F774AB1"/>
    <w:rsid w:val="3F8B5B48"/>
    <w:rsid w:val="3FC77FEB"/>
    <w:rsid w:val="3FC90141"/>
    <w:rsid w:val="4026530F"/>
    <w:rsid w:val="40D67342"/>
    <w:rsid w:val="40E9426C"/>
    <w:rsid w:val="40F32819"/>
    <w:rsid w:val="4109186B"/>
    <w:rsid w:val="41100FAA"/>
    <w:rsid w:val="41495981"/>
    <w:rsid w:val="41537183"/>
    <w:rsid w:val="41957612"/>
    <w:rsid w:val="41F95D1C"/>
    <w:rsid w:val="4291442C"/>
    <w:rsid w:val="42D107B8"/>
    <w:rsid w:val="430443AC"/>
    <w:rsid w:val="4305213B"/>
    <w:rsid w:val="435F147B"/>
    <w:rsid w:val="4481486B"/>
    <w:rsid w:val="449768E3"/>
    <w:rsid w:val="44F148D7"/>
    <w:rsid w:val="44FE0165"/>
    <w:rsid w:val="452568FC"/>
    <w:rsid w:val="45BE1A52"/>
    <w:rsid w:val="45BF2483"/>
    <w:rsid w:val="45FB5E51"/>
    <w:rsid w:val="46126BDA"/>
    <w:rsid w:val="4810664D"/>
    <w:rsid w:val="48C2298E"/>
    <w:rsid w:val="49591DDC"/>
    <w:rsid w:val="4A574591"/>
    <w:rsid w:val="4A7736B0"/>
    <w:rsid w:val="4A8F3D14"/>
    <w:rsid w:val="4AFA5CD5"/>
    <w:rsid w:val="4BC469ED"/>
    <w:rsid w:val="4C1A1AFF"/>
    <w:rsid w:val="4C351A0C"/>
    <w:rsid w:val="4C3E3166"/>
    <w:rsid w:val="4CF97807"/>
    <w:rsid w:val="4D1A7911"/>
    <w:rsid w:val="4D63454C"/>
    <w:rsid w:val="4D8573C8"/>
    <w:rsid w:val="4D933B4A"/>
    <w:rsid w:val="4DA8193C"/>
    <w:rsid w:val="4DF627B5"/>
    <w:rsid w:val="4E1A48C2"/>
    <w:rsid w:val="4E1B0C2B"/>
    <w:rsid w:val="4E843AB5"/>
    <w:rsid w:val="4EFD4EB5"/>
    <w:rsid w:val="4F0638D3"/>
    <w:rsid w:val="4F7030DC"/>
    <w:rsid w:val="4FDC4813"/>
    <w:rsid w:val="50056975"/>
    <w:rsid w:val="504636E0"/>
    <w:rsid w:val="513D61A2"/>
    <w:rsid w:val="518A022B"/>
    <w:rsid w:val="51FB31A0"/>
    <w:rsid w:val="51FF1CAE"/>
    <w:rsid w:val="52CE4CE2"/>
    <w:rsid w:val="53E52B8A"/>
    <w:rsid w:val="53E83831"/>
    <w:rsid w:val="53FB251B"/>
    <w:rsid w:val="544B399C"/>
    <w:rsid w:val="54897737"/>
    <w:rsid w:val="5587368B"/>
    <w:rsid w:val="559441BC"/>
    <w:rsid w:val="55D00F8D"/>
    <w:rsid w:val="56375E29"/>
    <w:rsid w:val="56703A1E"/>
    <w:rsid w:val="56DD7BB2"/>
    <w:rsid w:val="57C61C1C"/>
    <w:rsid w:val="582B10BE"/>
    <w:rsid w:val="589E0B67"/>
    <w:rsid w:val="59443810"/>
    <w:rsid w:val="59723E95"/>
    <w:rsid w:val="59CE7743"/>
    <w:rsid w:val="59D306A0"/>
    <w:rsid w:val="5AB80777"/>
    <w:rsid w:val="5B1B72C0"/>
    <w:rsid w:val="5B4C62D6"/>
    <w:rsid w:val="5B5A6226"/>
    <w:rsid w:val="5C5E3AB1"/>
    <w:rsid w:val="5CAA3800"/>
    <w:rsid w:val="5D146443"/>
    <w:rsid w:val="5D6238A7"/>
    <w:rsid w:val="5D867E6F"/>
    <w:rsid w:val="5D9C4587"/>
    <w:rsid w:val="5DEF6839"/>
    <w:rsid w:val="5EED6C10"/>
    <w:rsid w:val="5EFB2D27"/>
    <w:rsid w:val="5FAC7ADE"/>
    <w:rsid w:val="5FB93946"/>
    <w:rsid w:val="60505C60"/>
    <w:rsid w:val="61451781"/>
    <w:rsid w:val="616F3391"/>
    <w:rsid w:val="61D4749E"/>
    <w:rsid w:val="62B9046A"/>
    <w:rsid w:val="62C3666D"/>
    <w:rsid w:val="63753976"/>
    <w:rsid w:val="64AF3151"/>
    <w:rsid w:val="64EF6DD7"/>
    <w:rsid w:val="65146E21"/>
    <w:rsid w:val="65377876"/>
    <w:rsid w:val="684309B1"/>
    <w:rsid w:val="68A85937"/>
    <w:rsid w:val="68C12EAF"/>
    <w:rsid w:val="692130F5"/>
    <w:rsid w:val="69390FCD"/>
    <w:rsid w:val="69482CF9"/>
    <w:rsid w:val="69692A77"/>
    <w:rsid w:val="6989290B"/>
    <w:rsid w:val="699E3C6D"/>
    <w:rsid w:val="69B43864"/>
    <w:rsid w:val="69E067EC"/>
    <w:rsid w:val="6A101EB3"/>
    <w:rsid w:val="6A3E57FA"/>
    <w:rsid w:val="6A890217"/>
    <w:rsid w:val="6AF92584"/>
    <w:rsid w:val="6BC607BD"/>
    <w:rsid w:val="6C6A1B6C"/>
    <w:rsid w:val="6D165ECD"/>
    <w:rsid w:val="6D25144F"/>
    <w:rsid w:val="6D26179D"/>
    <w:rsid w:val="6D3E4274"/>
    <w:rsid w:val="6DEE1BE8"/>
    <w:rsid w:val="6E37058B"/>
    <w:rsid w:val="6E595D30"/>
    <w:rsid w:val="6E8C6201"/>
    <w:rsid w:val="6F2E7254"/>
    <w:rsid w:val="6F696950"/>
    <w:rsid w:val="6FAC6EC2"/>
    <w:rsid w:val="6FD058EA"/>
    <w:rsid w:val="702F2962"/>
    <w:rsid w:val="708D3C3C"/>
    <w:rsid w:val="70BA35B6"/>
    <w:rsid w:val="72294AE2"/>
    <w:rsid w:val="72945C6B"/>
    <w:rsid w:val="740F5064"/>
    <w:rsid w:val="743C4538"/>
    <w:rsid w:val="750F2E74"/>
    <w:rsid w:val="75FF6E8A"/>
    <w:rsid w:val="766F0A20"/>
    <w:rsid w:val="7673322C"/>
    <w:rsid w:val="774B3C86"/>
    <w:rsid w:val="77697EBD"/>
    <w:rsid w:val="77755F81"/>
    <w:rsid w:val="77995DD2"/>
    <w:rsid w:val="77E01D94"/>
    <w:rsid w:val="78271B2B"/>
    <w:rsid w:val="78C0213F"/>
    <w:rsid w:val="78DB2101"/>
    <w:rsid w:val="78FD1EB9"/>
    <w:rsid w:val="793479D8"/>
    <w:rsid w:val="79725E3C"/>
    <w:rsid w:val="7A2844B0"/>
    <w:rsid w:val="7A660D20"/>
    <w:rsid w:val="7B275ACC"/>
    <w:rsid w:val="7BB339E6"/>
    <w:rsid w:val="7BF95AB6"/>
    <w:rsid w:val="7C971244"/>
    <w:rsid w:val="7CA12560"/>
    <w:rsid w:val="7CEF2C36"/>
    <w:rsid w:val="7D5F317F"/>
    <w:rsid w:val="7DAE063F"/>
    <w:rsid w:val="7E4D1D75"/>
    <w:rsid w:val="7E995A8C"/>
    <w:rsid w:val="7F5D064F"/>
    <w:rsid w:val="7F6F4BD1"/>
    <w:rsid w:val="7F910E68"/>
    <w:rsid w:val="7F983D79"/>
    <w:rsid w:val="7FA70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tabs>
        <w:tab w:val="left" w:pos="432"/>
      </w:tabs>
      <w:snapToGrid w:val="0"/>
      <w:spacing w:before="340" w:after="330"/>
      <w:jc w:val="left"/>
      <w:outlineLvl w:val="0"/>
    </w:pPr>
    <w:rPr>
      <w:rFonts w:ascii="华文细黑" w:eastAsia="华文细黑" w:cs="华文细黑"/>
      <w:b/>
      <w:bCs/>
      <w:kern w:val="0"/>
      <w:sz w:val="52"/>
      <w:szCs w:val="52"/>
    </w:rPr>
  </w:style>
  <w:style w:type="paragraph" w:styleId="4">
    <w:name w:val="heading 2"/>
    <w:basedOn w:val="1"/>
    <w:next w:val="1"/>
    <w:unhideWhenUsed/>
    <w:qFormat/>
    <w:uiPriority w:val="0"/>
    <w:pPr>
      <w:keepNext/>
      <w:keepLines/>
      <w:spacing w:line="413" w:lineRule="auto"/>
      <w:outlineLvl w:val="1"/>
    </w:pPr>
    <w:rPr>
      <w:rFonts w:ascii="Arial" w:hAnsi="Arial" w:eastAsia="黑体"/>
      <w:b/>
      <w:bCs/>
      <w:sz w:val="32"/>
      <w:szCs w:val="32"/>
    </w:rPr>
  </w:style>
  <w:style w:type="paragraph" w:styleId="5">
    <w:name w:val="heading 3"/>
    <w:basedOn w:val="1"/>
    <w:next w:val="1"/>
    <w:unhideWhenUsed/>
    <w:qFormat/>
    <w:uiPriority w:val="0"/>
    <w:pPr>
      <w:keepNext/>
      <w:keepLines/>
      <w:spacing w:before="120" w:after="120" w:line="300" w:lineRule="auto"/>
      <w:outlineLvl w:val="2"/>
    </w:pPr>
    <w:rPr>
      <w:rFonts w:ascii="宋体" w:cs="宋体"/>
      <w:b/>
      <w:bCs/>
      <w:sz w:val="24"/>
    </w:rPr>
  </w:style>
  <w:style w:type="paragraph" w:styleId="6">
    <w:name w:val="heading 4"/>
    <w:basedOn w:val="1"/>
    <w:next w:val="1"/>
    <w:unhideWhenUsed/>
    <w:qFormat/>
    <w:uiPriority w:val="0"/>
    <w:pPr>
      <w:keepNext/>
      <w:keepLines/>
      <w:numPr>
        <w:ilvl w:val="3"/>
        <w:numId w:val="1"/>
      </w:numPr>
      <w:spacing w:line="372" w:lineRule="auto"/>
      <w:outlineLvl w:val="3"/>
    </w:pPr>
    <w:rPr>
      <w:rFonts w:ascii="Arial" w:hAnsi="Arial" w:eastAsia="黑体"/>
      <w:b/>
      <w:sz w:val="28"/>
    </w:rPr>
  </w:style>
  <w:style w:type="paragraph" w:styleId="7">
    <w:name w:val="heading 5"/>
    <w:basedOn w:val="1"/>
    <w:next w:val="1"/>
    <w:unhideWhenUsed/>
    <w:qFormat/>
    <w:uiPriority w:val="0"/>
    <w:pPr>
      <w:keepNext/>
      <w:keepLines/>
      <w:numPr>
        <w:ilvl w:val="4"/>
        <w:numId w:val="1"/>
      </w:numPr>
      <w:spacing w:line="372" w:lineRule="auto"/>
      <w:outlineLvl w:val="4"/>
    </w:pPr>
    <w:rPr>
      <w:b/>
      <w:sz w:val="28"/>
    </w:rPr>
  </w:style>
  <w:style w:type="paragraph" w:styleId="8">
    <w:name w:val="heading 6"/>
    <w:basedOn w:val="1"/>
    <w:next w:val="1"/>
    <w:qFormat/>
    <w:uiPriority w:val="99"/>
    <w:pPr>
      <w:ind w:left="1898" w:hanging="481"/>
      <w:outlineLvl w:val="5"/>
    </w:pPr>
    <w:rPr>
      <w:b/>
      <w:bCs/>
      <w:sz w:val="24"/>
    </w:rPr>
  </w:style>
  <w:style w:type="character" w:default="1" w:styleId="25">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customStyle="1" w:styleId="2">
    <w:name w:val="段"/>
    <w:next w:val="1"/>
    <w:qFormat/>
    <w:uiPriority w:val="99"/>
    <w:pPr>
      <w:autoSpaceDE w:val="0"/>
      <w:autoSpaceDN w:val="0"/>
      <w:spacing w:after="200" w:line="276" w:lineRule="auto"/>
      <w:ind w:firstLine="200" w:firstLineChars="200"/>
      <w:jc w:val="both"/>
    </w:pPr>
    <w:rPr>
      <w:rFonts w:ascii="宋体" w:hAnsi="Calibri" w:eastAsia="宋体" w:cs="Times New Roman"/>
      <w:sz w:val="21"/>
      <w:szCs w:val="22"/>
      <w:lang w:val="en-US" w:eastAsia="zh-CN" w:bidi="ar-SA"/>
    </w:rPr>
  </w:style>
  <w:style w:type="paragraph" w:styleId="9">
    <w:name w:val="Normal Indent"/>
    <w:basedOn w:val="1"/>
    <w:qFormat/>
    <w:uiPriority w:val="0"/>
    <w:pPr>
      <w:ind w:firstLine="420"/>
    </w:pPr>
    <w:rPr>
      <w:szCs w:val="20"/>
    </w:rPr>
  </w:style>
  <w:style w:type="paragraph" w:styleId="10">
    <w:name w:val="annotation text"/>
    <w:basedOn w:val="1"/>
    <w:qFormat/>
    <w:uiPriority w:val="0"/>
    <w:pPr>
      <w:jc w:val="left"/>
    </w:pPr>
  </w:style>
  <w:style w:type="paragraph" w:styleId="11">
    <w:name w:val="Body Text"/>
    <w:basedOn w:val="1"/>
    <w:next w:val="12"/>
    <w:qFormat/>
    <w:uiPriority w:val="0"/>
    <w:rPr>
      <w:sz w:val="24"/>
    </w:rPr>
  </w:style>
  <w:style w:type="paragraph" w:customStyle="1" w:styleId="12">
    <w:name w:val="一级条标题"/>
    <w:basedOn w:val="13"/>
    <w:next w:val="2"/>
    <w:qFormat/>
    <w:uiPriority w:val="99"/>
    <w:pPr>
      <w:numPr>
        <w:ilvl w:val="2"/>
        <w:numId w:val="2"/>
      </w:numPr>
      <w:outlineLvl w:val="2"/>
    </w:pPr>
    <w:rPr>
      <w:rFonts w:ascii="Times New Roman" w:hAnsi="Times New Roman" w:eastAsia="黑体" w:cs="Times New Roman"/>
      <w:kern w:val="0"/>
      <w:sz w:val="21"/>
      <w:szCs w:val="20"/>
      <w:lang w:val="en-US" w:eastAsia="zh-CN" w:bidi="ar-SA"/>
    </w:rPr>
  </w:style>
  <w:style w:type="paragraph" w:customStyle="1" w:styleId="13">
    <w:name w:val="章标题"/>
    <w:next w:val="1"/>
    <w:qFormat/>
    <w:uiPriority w:val="99"/>
    <w:pPr>
      <w:numPr>
        <w:ilvl w:val="1"/>
        <w:numId w:val="2"/>
      </w:numPr>
      <w:spacing w:beforeLines="50" w:afterLines="50"/>
      <w:jc w:val="both"/>
      <w:outlineLvl w:val="1"/>
    </w:pPr>
    <w:rPr>
      <w:rFonts w:ascii="黑体" w:hAnsi="Times New Roman" w:eastAsia="黑体" w:cs="Times New Roman"/>
      <w:kern w:val="0"/>
      <w:sz w:val="21"/>
      <w:szCs w:val="20"/>
      <w:lang w:val="en-US" w:eastAsia="zh-CN" w:bidi="ar-SA"/>
    </w:rPr>
  </w:style>
  <w:style w:type="paragraph" w:styleId="14">
    <w:name w:val="Plain Text"/>
    <w:basedOn w:val="1"/>
    <w:qFormat/>
    <w:uiPriority w:val="0"/>
    <w:rPr>
      <w:rFonts w:ascii="宋体" w:hAnsi="Courier New" w:cs="宋体"/>
    </w:rPr>
  </w:style>
  <w:style w:type="paragraph" w:styleId="15">
    <w:name w:val="Body Text Indent 2"/>
    <w:basedOn w:val="1"/>
    <w:qFormat/>
    <w:uiPriority w:val="0"/>
    <w:pPr>
      <w:ind w:left="899" w:leftChars="428" w:firstLine="456" w:firstLineChars="217"/>
    </w:pPr>
  </w:style>
  <w:style w:type="paragraph" w:styleId="16">
    <w:name w:val="footer"/>
    <w:basedOn w:val="1"/>
    <w:qFormat/>
    <w:uiPriority w:val="0"/>
    <w:pPr>
      <w:tabs>
        <w:tab w:val="center" w:pos="4153"/>
        <w:tab w:val="right" w:pos="8306"/>
      </w:tabs>
      <w:snapToGrid w:val="0"/>
      <w:jc w:val="left"/>
    </w:pPr>
    <w:rPr>
      <w:sz w:val="18"/>
      <w:szCs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0"/>
  </w:style>
  <w:style w:type="paragraph" w:styleId="19">
    <w:name w:val="Body Text Indent 3"/>
    <w:basedOn w:val="1"/>
    <w:qFormat/>
    <w:uiPriority w:val="0"/>
    <w:pPr>
      <w:ind w:left="899" w:leftChars="428" w:firstLine="458" w:firstLineChars="218"/>
    </w:pPr>
  </w:style>
  <w:style w:type="paragraph" w:styleId="20">
    <w:name w:val="toc 2"/>
    <w:basedOn w:val="1"/>
    <w:next w:val="1"/>
    <w:qFormat/>
    <w:uiPriority w:val="0"/>
    <w:pPr>
      <w:ind w:left="420" w:leftChars="200"/>
    </w:pPr>
  </w:style>
  <w:style w:type="paragraph" w:styleId="21">
    <w:name w:val="Normal (Web)"/>
    <w:basedOn w:val="1"/>
    <w:qFormat/>
    <w:uiPriority w:val="0"/>
    <w:pPr>
      <w:jc w:val="left"/>
    </w:pPr>
    <w:rPr>
      <w:rFonts w:cs="Times New Roman"/>
      <w:kern w:val="0"/>
      <w:sz w:val="24"/>
    </w:rPr>
  </w:style>
  <w:style w:type="paragraph" w:styleId="22">
    <w:name w:val="Body Text First Indent"/>
    <w:basedOn w:val="11"/>
    <w:qFormat/>
    <w:uiPriority w:val="99"/>
    <w:pPr>
      <w:ind w:firstLine="420" w:firstLineChars="1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0"/>
    <w:rPr>
      <w:b/>
    </w:rPr>
  </w:style>
  <w:style w:type="character" w:styleId="27">
    <w:name w:val="page number"/>
    <w:basedOn w:val="25"/>
    <w:qFormat/>
    <w:uiPriority w:val="0"/>
  </w:style>
  <w:style w:type="character" w:styleId="28">
    <w:name w:val="Hyperlink"/>
    <w:basedOn w:val="25"/>
    <w:qFormat/>
    <w:uiPriority w:val="0"/>
    <w:rPr>
      <w:color w:val="0000FF"/>
      <w:u w:val="single"/>
    </w:rPr>
  </w:style>
  <w:style w:type="paragraph" w:customStyle="1" w:styleId="29">
    <w:name w:val="Default"/>
    <w:unhideWhenUsed/>
    <w:qFormat/>
    <w:uiPriority w:val="99"/>
    <w:pPr>
      <w:widowControl w:val="0"/>
      <w:autoSpaceDE w:val="0"/>
      <w:autoSpaceDN w:val="0"/>
      <w:spacing w:line="240" w:lineRule="atLeast"/>
    </w:pPr>
    <w:rPr>
      <w:rFonts w:hint="eastAsia" w:ascii="宋体" w:hAnsi="Times New Roman" w:eastAsia="宋体" w:cs="Times New Roman"/>
      <w:color w:val="000000"/>
      <w:sz w:val="24"/>
      <w:szCs w:val="22"/>
      <w:lang w:val="en-US" w:eastAsia="zh-CN" w:bidi="ar-SA"/>
    </w:rPr>
  </w:style>
  <w:style w:type="paragraph" w:customStyle="1" w:styleId="30">
    <w:name w:val="List Paragraph"/>
    <w:basedOn w:val="1"/>
    <w:qFormat/>
    <w:uiPriority w:val="34"/>
    <w:pPr>
      <w:ind w:firstLine="420" w:firstLineChars="200"/>
    </w:pPr>
    <w:rPr>
      <w:rFonts w:ascii="Calibri" w:hAnsi="Calibri"/>
      <w:szCs w:val="22"/>
    </w:rPr>
  </w:style>
  <w:style w:type="character" w:customStyle="1" w:styleId="31">
    <w:name w:val="font21"/>
    <w:basedOn w:val="25"/>
    <w:qFormat/>
    <w:uiPriority w:val="0"/>
    <w:rPr>
      <w:rFonts w:hint="default" w:ascii="Times New Roman" w:hAnsi="Times New Roman" w:cs="Times New Roman"/>
      <w:color w:val="000000"/>
      <w:sz w:val="20"/>
      <w:szCs w:val="20"/>
      <w:u w:val="none"/>
    </w:rPr>
  </w:style>
  <w:style w:type="character" w:customStyle="1" w:styleId="32">
    <w:name w:val="font41"/>
    <w:basedOn w:val="25"/>
    <w:qFormat/>
    <w:uiPriority w:val="0"/>
    <w:rPr>
      <w:rFonts w:hint="default" w:ascii="Times New Roman" w:hAnsi="Times New Roman" w:cs="Times New Roman"/>
      <w:color w:val="000000"/>
      <w:sz w:val="18"/>
      <w:szCs w:val="18"/>
      <w:u w:val="none"/>
    </w:rPr>
  </w:style>
  <w:style w:type="character" w:customStyle="1" w:styleId="33">
    <w:name w:val="font11"/>
    <w:basedOn w:val="25"/>
    <w:qFormat/>
    <w:uiPriority w:val="0"/>
    <w:rPr>
      <w:rFonts w:hint="eastAsia" w:ascii="宋体" w:hAnsi="宋体" w:eastAsia="宋体" w:cs="宋体"/>
      <w:color w:val="000000"/>
      <w:sz w:val="18"/>
      <w:szCs w:val="18"/>
      <w:u w:val="none"/>
    </w:rPr>
  </w:style>
  <w:style w:type="character" w:customStyle="1" w:styleId="34">
    <w:name w:val="font01"/>
    <w:basedOn w:val="25"/>
    <w:qFormat/>
    <w:uiPriority w:val="0"/>
    <w:rPr>
      <w:rFonts w:ascii="微软雅黑" w:hAnsi="微软雅黑" w:eastAsia="微软雅黑" w:cs="微软雅黑"/>
      <w:color w:val="000000"/>
      <w:sz w:val="18"/>
      <w:szCs w:val="18"/>
      <w:u w:val="none"/>
    </w:rPr>
  </w:style>
  <w:style w:type="character" w:customStyle="1" w:styleId="35">
    <w:name w:val="font31"/>
    <w:basedOn w:val="25"/>
    <w:qFormat/>
    <w:uiPriority w:val="0"/>
    <w:rPr>
      <w:rFonts w:hint="default" w:ascii="Times New Roman" w:hAnsi="Times New Roman" w:cs="Times New Roman"/>
      <w:color w:val="000000"/>
      <w:sz w:val="20"/>
      <w:szCs w:val="20"/>
      <w:u w:val="none"/>
    </w:rPr>
  </w:style>
  <w:style w:type="character" w:customStyle="1" w:styleId="36">
    <w:name w:val="font51"/>
    <w:basedOn w:val="25"/>
    <w:qFormat/>
    <w:uiPriority w:val="0"/>
    <w:rPr>
      <w:rFonts w:hint="eastAsia" w:ascii="宋体" w:hAnsi="宋体" w:eastAsia="宋体" w:cs="宋体"/>
      <w:color w:val="000000"/>
      <w:sz w:val="20"/>
      <w:szCs w:val="20"/>
      <w:u w:val="none"/>
    </w:rPr>
  </w:style>
  <w:style w:type="paragraph" w:customStyle="1" w:styleId="37">
    <w:name w:val="A 一级标题"/>
    <w:qFormat/>
    <w:uiPriority w:val="0"/>
    <w:pPr>
      <w:numPr>
        <w:ilvl w:val="0"/>
        <w:numId w:val="3"/>
      </w:numPr>
      <w:outlineLvl w:val="0"/>
    </w:pPr>
    <w:rPr>
      <w:rFonts w:ascii="Times New Roman" w:hAnsi="Times New Roman" w:eastAsia="宋体" w:cstheme="minorBidi"/>
      <w:b/>
      <w:sz w:val="30"/>
      <w:lang w:val="en-US" w:eastAsia="zh-CN" w:bidi="ar-SA"/>
    </w:rPr>
  </w:style>
  <w:style w:type="paragraph" w:customStyle="1" w:styleId="38">
    <w:name w:val="A 二级标题"/>
    <w:qFormat/>
    <w:uiPriority w:val="0"/>
    <w:pPr>
      <w:numPr>
        <w:ilvl w:val="1"/>
        <w:numId w:val="3"/>
      </w:numPr>
      <w:outlineLvl w:val="1"/>
    </w:pPr>
    <w:rPr>
      <w:rFonts w:ascii="Times New Roman" w:hAnsi="Times New Roman" w:eastAsia="宋体" w:cs="Times New Roman"/>
      <w:b/>
      <w:sz w:val="28"/>
      <w:lang w:val="en-US" w:eastAsia="zh-CN" w:bidi="ar-SA"/>
    </w:rPr>
  </w:style>
  <w:style w:type="paragraph" w:customStyle="1" w:styleId="39">
    <w:name w:val="A 正文"/>
    <w:qFormat/>
    <w:uiPriority w:val="0"/>
    <w:pPr>
      <w:spacing w:line="360" w:lineRule="auto"/>
      <w:ind w:firstLine="420" w:firstLineChars="200"/>
      <w:textAlignment w:val="baseline"/>
    </w:pPr>
    <w:rPr>
      <w:rFonts w:ascii="Times New Roman" w:hAnsi="Times New Roman" w:eastAsia="宋体" w:cs="Times New Roman"/>
      <w:sz w:val="24"/>
      <w:lang w:val="en-US" w:eastAsia="zh-CN" w:bidi="ar-SA"/>
    </w:rPr>
  </w:style>
  <w:style w:type="character" w:customStyle="1" w:styleId="40">
    <w:name w:val="标题 2 Char1"/>
    <w:basedOn w:val="25"/>
    <w:qFormat/>
    <w:uiPriority w:val="99"/>
    <w:rPr>
      <w:rFonts w:ascii="Arial" w:hAnsi="Arial" w:cs="Arial"/>
      <w:b/>
    </w:rPr>
  </w:style>
  <w:style w:type="paragraph" w:customStyle="1" w:styleId="41">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42">
    <w:name w:val="TOC 标题1"/>
    <w:basedOn w:val="3"/>
    <w:next w:val="1"/>
    <w:qFormat/>
    <w:uiPriority w:val="39"/>
    <w:pPr>
      <w:spacing w:before="480" w:line="276" w:lineRule="auto"/>
      <w:outlineLvl w:val="9"/>
    </w:pPr>
    <w:rPr>
      <w:rFonts w:ascii="仿宋" w:hAnsi="仿宋" w:eastAsia="仿宋"/>
      <w:color w:val="000000"/>
      <w:sz w:val="32"/>
      <w:szCs w:val="32"/>
    </w:rPr>
  </w:style>
  <w:style w:type="character" w:customStyle="1" w:styleId="43">
    <w:name w:val="font81"/>
    <w:basedOn w:val="25"/>
    <w:qFormat/>
    <w:uiPriority w:val="0"/>
    <w:rPr>
      <w:rFonts w:hint="eastAsia" w:ascii="宋体" w:hAnsi="宋体" w:eastAsia="宋体" w:cs="宋体"/>
      <w:color w:val="000000"/>
      <w:sz w:val="24"/>
      <w:szCs w:val="24"/>
      <w:u w:val="none"/>
    </w:rPr>
  </w:style>
  <w:style w:type="paragraph" w:customStyle="1" w:styleId="44">
    <w:name w:val="_Style 3"/>
    <w:basedOn w:val="1"/>
    <w:next w:val="1"/>
    <w:qFormat/>
    <w:uiPriority w:val="34"/>
    <w:pPr>
      <w:spacing w:line="360" w:lineRule="auto"/>
      <w:ind w:firstLine="420" w:firstLineChars="200"/>
    </w:pPr>
    <w:rPr>
      <w:rFonts w:ascii="Calibri" w:hAnsi="Calibri"/>
      <w:sz w:val="24"/>
      <w:szCs w:val="22"/>
    </w:rPr>
  </w:style>
  <w:style w:type="character" w:customStyle="1" w:styleId="45">
    <w:name w:val="font71"/>
    <w:basedOn w:val="25"/>
    <w:qFormat/>
    <w:uiPriority w:val="0"/>
    <w:rPr>
      <w:rFonts w:hint="eastAsia" w:ascii="宋体" w:hAnsi="宋体" w:eastAsia="宋体" w:cs="宋体"/>
      <w:b/>
      <w:color w:val="000000"/>
      <w:sz w:val="21"/>
      <w:szCs w:val="21"/>
      <w:u w:val="none"/>
    </w:rPr>
  </w:style>
  <w:style w:type="paragraph" w:customStyle="1" w:styleId="46">
    <w:name w:val="List Paragraph1"/>
    <w:basedOn w:val="1"/>
    <w:qFormat/>
    <w:uiPriority w:val="99"/>
    <w:pPr>
      <w:ind w:firstLine="420" w:firstLineChars="200"/>
    </w:pPr>
  </w:style>
  <w:style w:type="paragraph" w:customStyle="1" w:styleId="47">
    <w:name w:val="Table Paragraph"/>
    <w:basedOn w:val="1"/>
    <w:qFormat/>
    <w:uiPriority w:val="1"/>
    <w:rPr>
      <w:rFonts w:ascii="宋体" w:hAnsi="宋体" w:eastAsia="宋体" w:cs="宋体"/>
      <w:lang w:val="zh-CN" w:bidi="zh-CN"/>
    </w:rPr>
  </w:style>
  <w:style w:type="character" w:customStyle="1" w:styleId="48">
    <w:name w:val="font61"/>
    <w:basedOn w:val="25"/>
    <w:qFormat/>
    <w:uiPriority w:val="0"/>
    <w:rPr>
      <w:rFonts w:hint="default" w:ascii="等线" w:hAnsi="等线" w:eastAsia="等线" w:cs="等线"/>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3488</Words>
  <Characters>19886</Characters>
  <Lines>165</Lines>
  <Paragraphs>46</Paragraphs>
  <TotalTime>98</TotalTime>
  <ScaleCrop>false</ScaleCrop>
  <LinksUpToDate>false</LinksUpToDate>
  <CharactersWithSpaces>23328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2019-08-27T06:56:00Z</dcterms:created>
  <dc:creator>Administrator</dc:creator>
  <cp:lastModifiedBy>admin</cp:lastModifiedBy>
  <cp:lastPrinted>2020-09-16T02:00:06Z</cp:lastPrinted>
  <dcterms:modified xsi:type="dcterms:W3CDTF">2020-09-16T03:13:44Z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